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A7D54B1" w14:textId="39218783" w:rsidR="00E66558" w:rsidRDefault="009D71E8">
      <w:pPr>
        <w:pStyle w:val="Heading1"/>
      </w:pPr>
      <w:bookmarkStart w:id="0" w:name="_Toc400361362"/>
      <w:bookmarkStart w:id="1" w:name="_Toc443397153"/>
      <w:bookmarkStart w:id="2" w:name="_Toc357771638"/>
      <w:bookmarkStart w:id="3" w:name="_Toc346793416"/>
      <w:bookmarkStart w:id="4" w:name="_Toc328122777"/>
      <w:r>
        <w:t>Pupil premium strategy statement</w:t>
      </w:r>
      <w:bookmarkStart w:id="5" w:name="_Toc338167830"/>
      <w:bookmarkStart w:id="6" w:name="_Toc361136403"/>
      <w:bookmarkStart w:id="7" w:name="_Toc364235708"/>
      <w:bookmarkStart w:id="8" w:name="_Toc364235752"/>
      <w:bookmarkStart w:id="9" w:name="_Toc364235834"/>
      <w:bookmarkStart w:id="10" w:name="_Toc364840099"/>
      <w:bookmarkStart w:id="11" w:name="_Toc364864309"/>
      <w:bookmarkStart w:id="12" w:name="_Toc400361364"/>
      <w:bookmarkStart w:id="13" w:name="_Toc443397154"/>
      <w:bookmarkEnd w:id="0"/>
      <w:bookmarkEnd w:id="1"/>
      <w:r w:rsidR="002E09B3">
        <w:t xml:space="preserve"> </w:t>
      </w:r>
    </w:p>
    <w:p w14:paraId="4EE876CB" w14:textId="675F51F2" w:rsidR="008E000B" w:rsidRDefault="002E09B3" w:rsidP="00C62989">
      <w:r>
        <w:rPr>
          <w:noProof/>
        </w:rPr>
        <w:drawing>
          <wp:inline distT="0" distB="0" distL="0" distR="0" wp14:anchorId="61D3D836" wp14:editId="5175B4D0">
            <wp:extent cx="6029274" cy="1226820"/>
            <wp:effectExtent l="0" t="0" r="0" b="0"/>
            <wp:docPr id="2" name="Picture 2"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Text&#10;&#10;Description automatically generated"/>
                    <pic:cNvPicPr/>
                  </pic:nvPicPr>
                  <pic:blipFill>
                    <a:blip r:embed="rId7" cstate="print">
                      <a:extLst>
                        <a:ext uri="{28A0092B-C50C-407E-A947-70E740481C1C}">
                          <a14:useLocalDpi xmlns:a14="http://schemas.microsoft.com/office/drawing/2010/main" val="0"/>
                        </a:ext>
                      </a:extLst>
                    </a:blip>
                    <a:stretch>
                      <a:fillRect/>
                    </a:stretch>
                  </pic:blipFill>
                  <pic:spPr>
                    <a:xfrm>
                      <a:off x="0" y="0"/>
                      <a:ext cx="6058649" cy="1232797"/>
                    </a:xfrm>
                    <a:prstGeom prst="rect">
                      <a:avLst/>
                    </a:prstGeom>
                  </pic:spPr>
                </pic:pic>
              </a:graphicData>
            </a:graphic>
          </wp:inline>
        </w:drawing>
      </w:r>
      <w:r>
        <w:rPr>
          <w:b/>
          <w:bCs/>
          <w:noProof/>
          <w:sz w:val="28"/>
          <w:szCs w:val="28"/>
        </w:rPr>
        <mc:AlternateContent>
          <mc:Choice Requires="wps">
            <w:drawing>
              <wp:anchor distT="0" distB="0" distL="114300" distR="114300" simplePos="0" relativeHeight="251658240" behindDoc="0" locked="0" layoutInCell="1" allowOverlap="1" wp14:anchorId="2A7D54B2" wp14:editId="6623349E">
                <wp:simplePos x="0" y="0"/>
                <wp:positionH relativeFrom="margin">
                  <wp:posOffset>7821930</wp:posOffset>
                </wp:positionH>
                <wp:positionV relativeFrom="margin">
                  <wp:posOffset>750570</wp:posOffset>
                </wp:positionV>
                <wp:extent cx="6000115" cy="45085"/>
                <wp:effectExtent l="0" t="0" r="19685" b="12065"/>
                <wp:wrapSquare wrapText="bothSides"/>
                <wp:docPr id="1" name="Text Box 2">
                  <a:extLst xmlns:a="http://schemas.openxmlformats.org/drawingml/2006/main">
                    <a:ext uri="{C183D7F6-B498-43B3-948B-1728B52AA6E4}">
                      <adec:decorative xmlns:adec="http://schemas.microsoft.com/office/drawing/2017/decorative" xmlns:w16sdtdh="http://schemas.microsoft.com/office/word/2020/wordml/sdtdatahash"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 xmlns:arto="http://schemas.microsoft.com/office/word/2006/arto" val="1"/>
                    </a:ext>
                  </a:extLst>
                </wp:docPr>
                <wp:cNvGraphicFramePr/>
                <a:graphic xmlns:a="http://schemas.openxmlformats.org/drawingml/2006/main">
                  <a:graphicData uri="http://schemas.microsoft.com/office/word/2010/wordprocessingShape">
                    <wps:wsp>
                      <wps:cNvSpPr txBox="1"/>
                      <wps:spPr>
                        <a:xfrm flipV="1">
                          <a:off x="0" y="0"/>
                          <a:ext cx="6000115" cy="45085"/>
                        </a:xfrm>
                        <a:prstGeom prst="rect">
                          <a:avLst/>
                        </a:prstGeom>
                        <a:solidFill>
                          <a:srgbClr val="F2F2F2"/>
                        </a:solidFill>
                        <a:ln w="9528">
                          <a:solidFill>
                            <a:srgbClr val="000000"/>
                          </a:solidFill>
                          <a:prstDash val="solid"/>
                        </a:ln>
                      </wps:spPr>
                      <wps:txbx>
                        <w:txbxContent>
                          <w:p w14:paraId="2A7D54B6" w14:textId="49E4817D" w:rsidR="00E66558" w:rsidRPr="00075FAE" w:rsidRDefault="00E66558">
                            <w:pPr>
                              <w:keepNext/>
                              <w:spacing w:before="120" w:after="120"/>
                              <w:outlineLvl w:val="1"/>
                              <w:rPr>
                                <w:bCs/>
                                <w:i/>
                                <w:iCs/>
                                <w:sz w:val="28"/>
                                <w:szCs w:val="28"/>
                              </w:rPr>
                            </w:pPr>
                          </w:p>
                        </w:txbxContent>
                      </wps:txbx>
                      <wps:bodyPr vert="horz" wrap="square" lIns="91440" tIns="45720" rIns="91440" bIns="45720" anchor="ctr" anchorCtr="0" compatLnSpc="0">
                        <a:noAutofit/>
                      </wps:bodyPr>
                    </wps:wsp>
                  </a:graphicData>
                </a:graphic>
                <wp14:sizeRelV relativeFrom="margin">
                  <wp14:pctHeight>0</wp14:pctHeight>
                </wp14:sizeRelV>
              </wp:anchor>
            </w:drawing>
          </mc:Choice>
          <mc:Fallback>
            <w:pict>
              <v:shapetype w14:anchorId="2A7D54B2" id="_x0000_t202" coordsize="21600,21600" o:spt="202" path="m,l,21600r21600,l21600,xe">
                <v:stroke joinstyle="miter"/>
                <v:path gradientshapeok="t" o:connecttype="rect"/>
              </v:shapetype>
              <v:shape id="Text Box 2" o:spid="_x0000_s1026" type="#_x0000_t202" style="position:absolute;margin-left:615.9pt;margin-top:59.1pt;width:472.45pt;height:3.55pt;flip:y;z-index:251658240;visibility:visible;mso-wrap-style:square;mso-height-percent:0;mso-wrap-distance-left:9pt;mso-wrap-distance-top:0;mso-wrap-distance-right:9pt;mso-wrap-distance-bottom:0;mso-position-horizontal:absolute;mso-position-horizontal-relative:margin;mso-position-vertical:absolute;mso-position-vertical-relative:margin;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" fillcolor="#f2f2f2" strokeweight=".26467mm">
                <v:textbox>
                  <w:txbxContent>
                    <w:p w14:paraId="2A7D54B6" w14:textId="49E4817D" w:rsidR="00E66558" w:rsidRPr="00075FAE" w:rsidRDefault="00E66558">
                      <w:pPr>
                        <w:keepNext/>
                        <w:spacing w:before="120" w:after="120"/>
                        <w:outlineLvl w:val="1"/>
                        <w:rPr>
                          <w:bCs/>
                          <w:i/>
                          <w:iCs/>
                          <w:sz w:val="28"/>
                          <w:szCs w:val="28"/>
                        </w:rPr>
                      </w:pPr>
                    </w:p>
                  </w:txbxContent>
                </v:textbox>
                <w10:wrap type="square" anchorx="margin" anchory="margin"/>
              </v:shape>
            </w:pict>
          </mc:Fallback>
        </mc:AlternateContent>
      </w:r>
    </w:p>
    <w:p w14:paraId="2A7D54B2" w14:textId="3EE41438" w:rsidR="00E66558" w:rsidRDefault="009D71E8" w:rsidP="00C62989">
      <w:pPr>
        <w:rPr>
          <w:b/>
        </w:rPr>
      </w:pPr>
      <w:r>
        <w:t xml:space="preserve">This statement details our school’s use of pupil premium (and recovery premium) funding to help improve the attainment of our disadvantaged pupils. </w:t>
      </w:r>
    </w:p>
    <w:p w14:paraId="2A7D54B3" w14:textId="730F2E71" w:rsidR="00E66558" w:rsidRDefault="009D71E8" w:rsidP="00C62989">
      <w:pPr>
        <w:rPr>
          <w:b/>
        </w:rPr>
      </w:pPr>
      <w:r>
        <w:t xml:space="preserve">It outlines our pupil premium strategy, how we intend to spend the funding in this academic year and the </w:t>
      </w:r>
      <w:r w:rsidR="00830D57">
        <w:t xml:space="preserve">outcomes </w:t>
      </w:r>
      <w:r w:rsidR="00A44FBB">
        <w:t>for disadvantaged pupils</w:t>
      </w:r>
      <w:r>
        <w:t xml:space="preserve"> last </w:t>
      </w:r>
      <w:r w:rsidR="00A44FBB">
        <w:t xml:space="preserve">academic </w:t>
      </w:r>
      <w:r>
        <w:t>year</w:t>
      </w:r>
      <w:r w:rsidR="00A44FBB">
        <w:t>.</w:t>
      </w:r>
    </w:p>
    <w:p w14:paraId="2A7D54B4" w14:textId="2CAB096C" w:rsidR="00E66558" w:rsidRDefault="009D71E8">
      <w:pPr>
        <w:pStyle w:val="Heading2"/>
      </w:pPr>
      <w:r>
        <w:t>School overview</w:t>
      </w:r>
      <w:bookmarkEnd w:id="5"/>
      <w:bookmarkEnd w:id="6"/>
      <w:bookmarkEnd w:id="7"/>
      <w:bookmarkEnd w:id="8"/>
      <w:bookmarkEnd w:id="9"/>
      <w:bookmarkEnd w:id="10"/>
      <w:bookmarkEnd w:id="11"/>
      <w:bookmarkEnd w:id="12"/>
      <w:bookmarkEnd w:id="13"/>
    </w:p>
    <w:tbl>
      <w:tblPr>
        <w:tblW w:w="5000" w:type="pct"/>
        <w:tblCellMar>
          <w:left w:w="10" w:type="dxa"/>
          <w:right w:w="10" w:type="dxa"/>
        </w:tblCellMar>
        <w:tblLook w:val="04A0" w:firstRow="1" w:lastRow="0" w:firstColumn="1" w:lastColumn="0" w:noHBand="0" w:noVBand="1"/>
      </w:tblPr>
      <w:tblGrid>
        <w:gridCol w:w="6517"/>
        <w:gridCol w:w="2969"/>
      </w:tblGrid>
      <w:tr w:rsidR="00E66558" w14:paraId="2A7D54B7" w14:textId="77777777" w:rsidTr="002940F3">
        <w:tc>
          <w:tcPr>
            <w:tcW w:w="651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8E2E9"/>
            <w:tcMar>
              <w:top w:w="0" w:type="dxa"/>
              <w:left w:w="108" w:type="dxa"/>
              <w:bottom w:w="0" w:type="dxa"/>
              <w:right w:w="108" w:type="dxa"/>
            </w:tcMar>
          </w:tcPr>
          <w:p w14:paraId="2A7D54B5" w14:textId="77777777" w:rsidR="00E66558" w:rsidRDefault="009D71E8">
            <w:pPr>
              <w:pStyle w:val="TableHeader"/>
              <w:jc w:val="left"/>
            </w:pPr>
            <w:r>
              <w:t>Detail</w:t>
            </w:r>
          </w:p>
        </w:tc>
        <w:tc>
          <w:tcPr>
            <w:tcW w:w="296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8E2E9"/>
            <w:tcMar>
              <w:top w:w="0" w:type="dxa"/>
              <w:left w:w="108" w:type="dxa"/>
              <w:bottom w:w="0" w:type="dxa"/>
              <w:right w:w="108" w:type="dxa"/>
            </w:tcMar>
          </w:tcPr>
          <w:p w14:paraId="2A7D54B6" w14:textId="77777777" w:rsidR="00E66558" w:rsidRDefault="009D71E8">
            <w:pPr>
              <w:pStyle w:val="TableHeader"/>
              <w:jc w:val="left"/>
            </w:pPr>
            <w:r>
              <w:t>Data</w:t>
            </w:r>
          </w:p>
        </w:tc>
      </w:tr>
      <w:tr w:rsidR="002940F3" w14:paraId="2A7D54BA" w14:textId="77777777" w:rsidTr="002940F3">
        <w:tc>
          <w:tcPr>
            <w:tcW w:w="651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A7D54B8" w14:textId="7E4C52DD" w:rsidR="002940F3" w:rsidRDefault="002940F3">
            <w:pPr>
              <w:pStyle w:val="TableRow"/>
            </w:pPr>
            <w:r>
              <w:t xml:space="preserve">Number of pupils in school </w:t>
            </w:r>
          </w:p>
        </w:tc>
        <w:tc>
          <w:tcPr>
            <w:tcW w:w="296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A7D54B9" w14:textId="0DD652A1" w:rsidR="002940F3" w:rsidRDefault="004E5A5B">
            <w:pPr>
              <w:pStyle w:val="TableRow"/>
            </w:pPr>
            <w:r>
              <w:t>323</w:t>
            </w:r>
          </w:p>
        </w:tc>
      </w:tr>
      <w:tr w:rsidR="002940F3" w14:paraId="2A7D54BD" w14:textId="77777777" w:rsidTr="002940F3">
        <w:tc>
          <w:tcPr>
            <w:tcW w:w="651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A7D54BB" w14:textId="04774D67" w:rsidR="002940F3" w:rsidRDefault="002940F3">
            <w:pPr>
              <w:pStyle w:val="TableRow"/>
            </w:pPr>
            <w:r>
              <w:t>Proportion (%) of pupil premium eligible pupils</w:t>
            </w:r>
          </w:p>
        </w:tc>
        <w:tc>
          <w:tcPr>
            <w:tcW w:w="296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A7D54BC" w14:textId="1E76DBFF" w:rsidR="002940F3" w:rsidRDefault="004E5A5B">
            <w:pPr>
              <w:pStyle w:val="TableRow"/>
            </w:pPr>
            <w:r>
              <w:t>15%</w:t>
            </w:r>
          </w:p>
        </w:tc>
      </w:tr>
      <w:tr w:rsidR="002940F3" w14:paraId="2A7D54C0" w14:textId="77777777" w:rsidTr="002940F3">
        <w:tc>
          <w:tcPr>
            <w:tcW w:w="651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A7D54BE" w14:textId="2862A41A" w:rsidR="002940F3" w:rsidRDefault="002940F3">
            <w:pPr>
              <w:pStyle w:val="TableRow"/>
            </w:pPr>
            <w:r>
              <w:t xml:space="preserve">Academic year/years that our current pupil premium strategy plan covers </w:t>
            </w:r>
            <w:r w:rsidRPr="1CBF4D92">
              <w:rPr>
                <w:b/>
              </w:rPr>
              <w:t>(3 year plans are recommended)</w:t>
            </w:r>
          </w:p>
        </w:tc>
        <w:tc>
          <w:tcPr>
            <w:tcW w:w="296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A7D54BF" w14:textId="3F6D59F4" w:rsidR="002940F3" w:rsidRDefault="004E5A5B">
            <w:pPr>
              <w:pStyle w:val="TableRow"/>
            </w:pPr>
            <w:r>
              <w:t>2022 - 2025</w:t>
            </w:r>
          </w:p>
        </w:tc>
      </w:tr>
      <w:tr w:rsidR="002940F3" w14:paraId="2A7D54C3" w14:textId="77777777" w:rsidTr="002940F3">
        <w:tc>
          <w:tcPr>
            <w:tcW w:w="651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A7D54C1" w14:textId="0F472705" w:rsidR="002940F3" w:rsidRDefault="002940F3">
            <w:pPr>
              <w:pStyle w:val="TableRow"/>
            </w:pPr>
            <w:r>
              <w:rPr>
                <w:szCs w:val="22"/>
              </w:rPr>
              <w:t>Date this statement was published</w:t>
            </w:r>
          </w:p>
        </w:tc>
        <w:tc>
          <w:tcPr>
            <w:tcW w:w="296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A7D54C2" w14:textId="6A6ED4D4" w:rsidR="002940F3" w:rsidRDefault="002E09B3">
            <w:pPr>
              <w:pStyle w:val="TableRow"/>
            </w:pPr>
            <w:r>
              <w:t>November 2022</w:t>
            </w:r>
          </w:p>
        </w:tc>
      </w:tr>
      <w:tr w:rsidR="002940F3" w14:paraId="2A7D54C6" w14:textId="77777777" w:rsidTr="002940F3">
        <w:tc>
          <w:tcPr>
            <w:tcW w:w="651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A7D54C4" w14:textId="0C766347" w:rsidR="002940F3" w:rsidRDefault="002940F3">
            <w:pPr>
              <w:pStyle w:val="TableRow"/>
            </w:pPr>
            <w:r>
              <w:rPr>
                <w:szCs w:val="22"/>
              </w:rPr>
              <w:t>Date on which it will be reviewed</w:t>
            </w:r>
          </w:p>
        </w:tc>
        <w:tc>
          <w:tcPr>
            <w:tcW w:w="296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A7D54C5" w14:textId="1AD210CF" w:rsidR="002940F3" w:rsidRDefault="002E09B3">
            <w:pPr>
              <w:pStyle w:val="TableRow"/>
            </w:pPr>
            <w:r>
              <w:t>November 2023</w:t>
            </w:r>
          </w:p>
        </w:tc>
      </w:tr>
      <w:tr w:rsidR="002940F3" w14:paraId="2A7D54C9" w14:textId="77777777" w:rsidTr="002940F3">
        <w:tc>
          <w:tcPr>
            <w:tcW w:w="651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A7D54C7" w14:textId="7605248E" w:rsidR="002940F3" w:rsidRDefault="002940F3">
            <w:pPr>
              <w:pStyle w:val="TableRow"/>
            </w:pPr>
            <w:r>
              <w:t>Statement authorised by</w:t>
            </w:r>
          </w:p>
        </w:tc>
        <w:tc>
          <w:tcPr>
            <w:tcW w:w="296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608E29F0" w14:textId="77777777" w:rsidR="002E09B3" w:rsidRDefault="002E09B3">
            <w:pPr>
              <w:pStyle w:val="TableRow"/>
            </w:pPr>
            <w:r>
              <w:t>Owen Wilder</w:t>
            </w:r>
          </w:p>
          <w:p w14:paraId="2A7D54C8" w14:textId="5AAB7DFC" w:rsidR="002940F3" w:rsidRDefault="002E09B3">
            <w:pPr>
              <w:pStyle w:val="TableRow"/>
            </w:pPr>
            <w:r>
              <w:t>Laura Druce</w:t>
            </w:r>
          </w:p>
        </w:tc>
      </w:tr>
      <w:tr w:rsidR="002940F3" w14:paraId="2A7D54CC" w14:textId="77777777" w:rsidTr="002940F3">
        <w:tc>
          <w:tcPr>
            <w:tcW w:w="651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A7D54CA" w14:textId="5DC091D2" w:rsidR="002940F3" w:rsidRDefault="002940F3">
            <w:pPr>
              <w:pStyle w:val="TableRow"/>
            </w:pPr>
            <w:r>
              <w:t>Pupil premium lead</w:t>
            </w:r>
          </w:p>
        </w:tc>
        <w:tc>
          <w:tcPr>
            <w:tcW w:w="296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A7D54CB" w14:textId="0937528A" w:rsidR="002940F3" w:rsidRDefault="002E09B3">
            <w:pPr>
              <w:pStyle w:val="TableRow"/>
            </w:pPr>
            <w:r>
              <w:t>Laura Druce</w:t>
            </w:r>
          </w:p>
        </w:tc>
      </w:tr>
      <w:tr w:rsidR="002940F3" w14:paraId="2A7D54CF" w14:textId="77777777" w:rsidTr="002940F3">
        <w:tc>
          <w:tcPr>
            <w:tcW w:w="651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A7D54CD" w14:textId="08FA5419" w:rsidR="002940F3" w:rsidRDefault="002940F3">
            <w:pPr>
              <w:pStyle w:val="TableRow"/>
            </w:pPr>
            <w:r>
              <w:t xml:space="preserve">Governor </w:t>
            </w:r>
            <w:r>
              <w:rPr>
                <w:szCs w:val="22"/>
              </w:rPr>
              <w:t xml:space="preserve">/ Trustee </w:t>
            </w:r>
            <w:r>
              <w:t>lead</w:t>
            </w:r>
          </w:p>
        </w:tc>
        <w:tc>
          <w:tcPr>
            <w:tcW w:w="296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A7D54CE" w14:textId="779D6087" w:rsidR="002940F3" w:rsidRDefault="00822A50">
            <w:pPr>
              <w:pStyle w:val="TableRow"/>
            </w:pPr>
            <w:r>
              <w:t>John- Paul</w:t>
            </w:r>
          </w:p>
        </w:tc>
      </w:tr>
    </w:tbl>
    <w:bookmarkEnd w:id="2"/>
    <w:bookmarkEnd w:id="3"/>
    <w:bookmarkEnd w:id="4"/>
    <w:p w14:paraId="2A7D54D3" w14:textId="77777777" w:rsidR="00E66558" w:rsidRPr="005464A1" w:rsidRDefault="009D71E8" w:rsidP="005464A1">
      <w:pPr>
        <w:pStyle w:val="Heading2"/>
      </w:pPr>
      <w:r>
        <w:t>Funding overview</w:t>
      </w:r>
    </w:p>
    <w:tbl>
      <w:tblPr>
        <w:tblW w:w="9486" w:type="dxa"/>
        <w:tblCellMar>
          <w:left w:w="10" w:type="dxa"/>
          <w:right w:w="10" w:type="dxa"/>
        </w:tblCellMar>
        <w:tblLook w:val="04A0" w:firstRow="1" w:lastRow="0" w:firstColumn="1" w:lastColumn="0" w:noHBand="0" w:noVBand="1"/>
      </w:tblPr>
      <w:tblGrid>
        <w:gridCol w:w="6516"/>
        <w:gridCol w:w="2970"/>
      </w:tblGrid>
      <w:tr w:rsidR="00E66558" w14:paraId="2A7D54D6" w14:textId="77777777" w:rsidTr="625D1A15">
        <w:trPr>
          <w:trHeight w:val="374"/>
        </w:trPr>
        <w:tc>
          <w:tcPr>
            <w:tcW w:w="651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8E2E9"/>
            <w:tcMar>
              <w:top w:w="0" w:type="dxa"/>
              <w:left w:w="108" w:type="dxa"/>
              <w:bottom w:w="0" w:type="dxa"/>
              <w:right w:w="108" w:type="dxa"/>
            </w:tcMar>
            <w:vAlign w:val="center"/>
          </w:tcPr>
          <w:p w14:paraId="2A7D54D4" w14:textId="77777777" w:rsidR="00E66558" w:rsidRDefault="009D71E8">
            <w:pPr>
              <w:pStyle w:val="TableRow"/>
            </w:pPr>
            <w:r>
              <w:rPr>
                <w:b/>
              </w:rPr>
              <w:t>Detail</w:t>
            </w:r>
          </w:p>
        </w:tc>
        <w:tc>
          <w:tcPr>
            <w:tcW w:w="297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8E2E9"/>
            <w:tcMar>
              <w:top w:w="0" w:type="dxa"/>
              <w:left w:w="108" w:type="dxa"/>
              <w:bottom w:w="0" w:type="dxa"/>
              <w:right w:w="108" w:type="dxa"/>
            </w:tcMar>
            <w:vAlign w:val="center"/>
          </w:tcPr>
          <w:p w14:paraId="2A7D54D5" w14:textId="77777777" w:rsidR="00E66558" w:rsidRDefault="009D71E8">
            <w:pPr>
              <w:pStyle w:val="TableRow"/>
            </w:pPr>
            <w:r>
              <w:rPr>
                <w:b/>
              </w:rPr>
              <w:t>Amount</w:t>
            </w:r>
          </w:p>
        </w:tc>
      </w:tr>
      <w:tr w:rsidR="00E66558" w14:paraId="2A7D54D9" w14:textId="77777777" w:rsidTr="625D1A15">
        <w:trPr>
          <w:trHeight w:val="374"/>
        </w:trPr>
        <w:tc>
          <w:tcPr>
            <w:tcW w:w="651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2A7D54D7" w14:textId="77777777" w:rsidR="00E66558" w:rsidRDefault="009D71E8">
            <w:pPr>
              <w:pStyle w:val="TableRow"/>
            </w:pPr>
            <w:r>
              <w:t>Pupil premium funding allocation this academic year</w:t>
            </w:r>
          </w:p>
        </w:tc>
        <w:tc>
          <w:tcPr>
            <w:tcW w:w="297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A7D54D8" w14:textId="3FB4E26F" w:rsidR="00E66558" w:rsidRDefault="009D71E8">
            <w:pPr>
              <w:pStyle w:val="TableRow"/>
            </w:pPr>
            <w:r>
              <w:t>£</w:t>
            </w:r>
            <w:r w:rsidR="004E5A5B">
              <w:t xml:space="preserve"> 66,200</w:t>
            </w:r>
          </w:p>
        </w:tc>
      </w:tr>
      <w:tr w:rsidR="00E66558" w14:paraId="2A7D54DC" w14:textId="77777777" w:rsidTr="625D1A15">
        <w:trPr>
          <w:trHeight w:val="374"/>
        </w:trPr>
        <w:tc>
          <w:tcPr>
            <w:tcW w:w="651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2A7D54DA" w14:textId="77777777" w:rsidR="00E66558" w:rsidRDefault="009D71E8">
            <w:pPr>
              <w:pStyle w:val="TableRow"/>
            </w:pPr>
            <w:r>
              <w:t>Recovery premium funding allocation this academic year</w:t>
            </w:r>
          </w:p>
        </w:tc>
        <w:tc>
          <w:tcPr>
            <w:tcW w:w="297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A7D54DB" w14:textId="1DF63C0B" w:rsidR="00E66558" w:rsidRDefault="009D71E8">
            <w:pPr>
              <w:pStyle w:val="TableRow"/>
            </w:pPr>
            <w:r>
              <w:t>£</w:t>
            </w:r>
            <w:r w:rsidR="004E5A5B">
              <w:t xml:space="preserve"> 4,350</w:t>
            </w:r>
          </w:p>
        </w:tc>
      </w:tr>
      <w:tr w:rsidR="00E66558" w14:paraId="2A7D54DF" w14:textId="77777777" w:rsidTr="625D1A15">
        <w:trPr>
          <w:trHeight w:val="374"/>
        </w:trPr>
        <w:tc>
          <w:tcPr>
            <w:tcW w:w="651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2A7D54DD" w14:textId="27F5A7DD" w:rsidR="001E206F" w:rsidRPr="004E5A5B" w:rsidRDefault="009D71E8" w:rsidP="004E5A5B">
            <w:pPr>
              <w:pStyle w:val="TableRow"/>
              <w:spacing w:after="120"/>
            </w:pPr>
            <w:r>
              <w:t xml:space="preserve">Pupil premium </w:t>
            </w:r>
            <w:r w:rsidR="006E0786">
              <w:t>(and recovery premium</w:t>
            </w:r>
            <w:r w:rsidR="001E206F">
              <w:t xml:space="preserve">*) </w:t>
            </w:r>
            <w:r>
              <w:t xml:space="preserve">funding carried forward from previous years </w:t>
            </w:r>
            <w:r w:rsidRPr="008E000B">
              <w:rPr>
                <w:i/>
                <w:iCs/>
              </w:rPr>
              <w:t>(enter £0 if not applicable)</w:t>
            </w:r>
            <w:r w:rsidR="0092287F">
              <w:rPr>
                <w:i/>
                <w:iCs/>
              </w:rPr>
              <w:t xml:space="preserve"> </w:t>
            </w:r>
          </w:p>
        </w:tc>
        <w:tc>
          <w:tcPr>
            <w:tcW w:w="297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A7D54DE" w14:textId="282FA11A" w:rsidR="00E66558" w:rsidRDefault="009D71E8">
            <w:pPr>
              <w:pStyle w:val="TableRow"/>
            </w:pPr>
            <w:r>
              <w:t>£</w:t>
            </w:r>
            <w:r w:rsidR="004E5A5B">
              <w:t xml:space="preserve"> 0</w:t>
            </w:r>
          </w:p>
        </w:tc>
      </w:tr>
      <w:tr w:rsidR="00E66558" w14:paraId="2A7D54E3" w14:textId="77777777" w:rsidTr="625D1A15">
        <w:tc>
          <w:tcPr>
            <w:tcW w:w="651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A7D54E0" w14:textId="77777777" w:rsidR="00E66558" w:rsidRDefault="009D71E8" w:rsidP="009C0914">
            <w:pPr>
              <w:pStyle w:val="TableRow"/>
              <w:spacing w:after="120"/>
              <w:rPr>
                <w:b/>
              </w:rPr>
            </w:pPr>
            <w:r>
              <w:rPr>
                <w:b/>
              </w:rPr>
              <w:t>Total budget for this academic year</w:t>
            </w:r>
          </w:p>
          <w:p w14:paraId="2A7D54E1" w14:textId="77777777" w:rsidR="00E66558" w:rsidRPr="003C4388" w:rsidRDefault="009D71E8">
            <w:pPr>
              <w:pStyle w:val="TableRow"/>
              <w:rPr>
                <w:i/>
                <w:iCs/>
              </w:rPr>
            </w:pPr>
            <w:r w:rsidRPr="003C4388">
              <w:rPr>
                <w:i/>
                <w:iCs/>
              </w:rPr>
              <w:t>If your school is an academy in a trust that pools this funding, state the amount available to your school this academic year</w:t>
            </w:r>
          </w:p>
        </w:tc>
        <w:tc>
          <w:tcPr>
            <w:tcW w:w="297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A7D54E2" w14:textId="216EDAC5" w:rsidR="00E66558" w:rsidRDefault="009D71E8">
            <w:pPr>
              <w:pStyle w:val="TableRow"/>
            </w:pPr>
            <w:r>
              <w:t>£</w:t>
            </w:r>
            <w:r w:rsidR="004E5A5B">
              <w:t xml:space="preserve"> 70,550</w:t>
            </w:r>
          </w:p>
        </w:tc>
      </w:tr>
    </w:tbl>
    <w:p w14:paraId="2A7D54E4" w14:textId="77777777" w:rsidR="00E66558" w:rsidRDefault="009D71E8">
      <w:pPr>
        <w:pStyle w:val="Heading1"/>
      </w:pPr>
      <w:r>
        <w:lastRenderedPageBreak/>
        <w:t>Part A: Pupil premium strategy plan</w:t>
      </w:r>
    </w:p>
    <w:p w14:paraId="2A7D54E5" w14:textId="77777777" w:rsidR="00E66558" w:rsidRDefault="009D71E8">
      <w:pPr>
        <w:pStyle w:val="Heading2"/>
      </w:pPr>
      <w:bookmarkStart w:id="14" w:name="_Toc357771640"/>
      <w:bookmarkStart w:id="15" w:name="_Toc346793418"/>
      <w:r>
        <w:t>Statement of intent</w:t>
      </w:r>
    </w:p>
    <w:tbl>
      <w:tblPr>
        <w:tblW w:w="9486" w:type="dxa"/>
        <w:tblCellMar>
          <w:left w:w="10" w:type="dxa"/>
          <w:right w:w="10" w:type="dxa"/>
        </w:tblCellMar>
        <w:tblLook w:val="04A0" w:firstRow="1" w:lastRow="0" w:firstColumn="1" w:lastColumn="0" w:noHBand="0" w:noVBand="1"/>
      </w:tblPr>
      <w:tblGrid>
        <w:gridCol w:w="9486"/>
      </w:tblGrid>
      <w:tr w:rsidR="00E66558" w14:paraId="2A7D54EA" w14:textId="77777777">
        <w:tc>
          <w:tcPr>
            <w:tcW w:w="948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C86FED" w14:textId="77777777" w:rsidR="004E5A5B" w:rsidRDefault="004E5A5B" w:rsidP="004E5A5B">
            <w:r>
              <w:t xml:space="preserve">At Trinity C of E Primary and Nursery School we target the use of Pupil Premium Grant funding to ensure that our disadvantaged pupils receive the highest quality of education to enable them to become active, socially responsible citizens of the future. We recognise that disadvantaged children can face a wide range of barriers which may impact on their learning. </w:t>
            </w:r>
          </w:p>
          <w:p w14:paraId="5937A4F5" w14:textId="77777777" w:rsidR="004E5A5B" w:rsidRDefault="004E5A5B" w:rsidP="004E5A5B">
            <w:pPr>
              <w:rPr>
                <w:rFonts w:ascii="Segoe UI Symbol" w:hAnsi="Segoe UI Symbol" w:cs="Segoe UI Symbol"/>
              </w:rPr>
            </w:pPr>
            <w:r>
              <w:t xml:space="preserve">Our ultimate objectives are to: </w:t>
            </w:r>
          </w:p>
          <w:p w14:paraId="6F0CBB67" w14:textId="77777777" w:rsidR="004E5A5B" w:rsidRPr="004E5A5B" w:rsidRDefault="004E5A5B" w:rsidP="004E5A5B">
            <w:pPr>
              <w:pStyle w:val="ListParagraph"/>
              <w:numPr>
                <w:ilvl w:val="0"/>
                <w:numId w:val="15"/>
              </w:numPr>
              <w:rPr>
                <w:i/>
                <w:iCs/>
              </w:rPr>
            </w:pPr>
            <w:r>
              <w:t>Remove barriers to learning created by poverty, family circumstance and background.</w:t>
            </w:r>
          </w:p>
          <w:p w14:paraId="17C1993B" w14:textId="77777777" w:rsidR="004E5A5B" w:rsidRPr="004E5A5B" w:rsidRDefault="004E5A5B" w:rsidP="004E5A5B">
            <w:pPr>
              <w:pStyle w:val="ListParagraph"/>
              <w:numPr>
                <w:ilvl w:val="0"/>
                <w:numId w:val="15"/>
              </w:numPr>
              <w:rPr>
                <w:i/>
                <w:iCs/>
              </w:rPr>
            </w:pPr>
            <w:r>
              <w:t>Narrow the attainment gaps between disadvantaged pupils and their non-disadvantaged counterparts both within school and nationally.</w:t>
            </w:r>
          </w:p>
          <w:p w14:paraId="23C70327" w14:textId="77777777" w:rsidR="004E5A5B" w:rsidRPr="004E5A5B" w:rsidRDefault="004E5A5B" w:rsidP="004E5A5B">
            <w:pPr>
              <w:pStyle w:val="ListParagraph"/>
              <w:numPr>
                <w:ilvl w:val="0"/>
                <w:numId w:val="15"/>
              </w:numPr>
              <w:rPr>
                <w:i/>
                <w:iCs/>
              </w:rPr>
            </w:pPr>
            <w:r>
              <w:t>Ensure ALL pupils are able to read fluently and with good understanding to enable them to access the breadth of the curriculum.</w:t>
            </w:r>
          </w:p>
          <w:p w14:paraId="5DF2DAB6" w14:textId="77777777" w:rsidR="004E5A5B" w:rsidRPr="004E5A5B" w:rsidRDefault="004E5A5B" w:rsidP="004E5A5B">
            <w:pPr>
              <w:pStyle w:val="ListParagraph"/>
              <w:numPr>
                <w:ilvl w:val="0"/>
                <w:numId w:val="15"/>
              </w:numPr>
              <w:rPr>
                <w:i/>
                <w:iCs/>
              </w:rPr>
            </w:pPr>
            <w:r>
              <w:t>Develop confidence in their ability to communicate effectively in a wide range of contexts.</w:t>
            </w:r>
          </w:p>
          <w:p w14:paraId="5CC7ED6B" w14:textId="77777777" w:rsidR="004E5A5B" w:rsidRPr="004E5A5B" w:rsidRDefault="004E5A5B" w:rsidP="004E5A5B">
            <w:pPr>
              <w:pStyle w:val="ListParagraph"/>
              <w:numPr>
                <w:ilvl w:val="0"/>
                <w:numId w:val="15"/>
              </w:numPr>
              <w:rPr>
                <w:i/>
                <w:iCs/>
              </w:rPr>
            </w:pPr>
            <w:r>
              <w:t>Enable pupils to look after their social and emotional wellbeing and to develop resilience.</w:t>
            </w:r>
          </w:p>
          <w:p w14:paraId="36D82168" w14:textId="77777777" w:rsidR="004E5A5B" w:rsidRPr="004E5A5B" w:rsidRDefault="004E5A5B" w:rsidP="004E5A5B">
            <w:pPr>
              <w:pStyle w:val="ListParagraph"/>
              <w:numPr>
                <w:ilvl w:val="0"/>
                <w:numId w:val="15"/>
              </w:numPr>
              <w:rPr>
                <w:i/>
                <w:iCs/>
              </w:rPr>
            </w:pPr>
            <w:r>
              <w:t xml:space="preserve">Access a wide range of opportunities to develop their knowledge and understanding of the world. </w:t>
            </w:r>
          </w:p>
          <w:p w14:paraId="53CF03A2" w14:textId="77777777" w:rsidR="004E5A5B" w:rsidRDefault="004E5A5B" w:rsidP="004E5A5B">
            <w:r>
              <w:t xml:space="preserve">Our context: </w:t>
            </w:r>
          </w:p>
          <w:p w14:paraId="61AF44AA" w14:textId="77777777" w:rsidR="004E5A5B" w:rsidRDefault="004E5A5B" w:rsidP="004E5A5B">
            <w:r>
              <w:t>Achieving our objectives:</w:t>
            </w:r>
          </w:p>
          <w:p w14:paraId="79FDB054" w14:textId="77777777" w:rsidR="004E5A5B" w:rsidRDefault="004E5A5B" w:rsidP="004E5A5B">
            <w:r>
              <w:t xml:space="preserve">In order to achieve our objectives and overcome identified barriers to learning we will: </w:t>
            </w:r>
            <w:r w:rsidRPr="004E5A5B">
              <w:rPr>
                <w:rFonts w:ascii="Segoe UI Symbol" w:hAnsi="Segoe UI Symbol" w:cs="Segoe UI Symbol"/>
              </w:rPr>
              <w:t>➢</w:t>
            </w:r>
            <w:r>
              <w:t xml:space="preserve"> Provide all teachers with high quality CPD to ensure that pupils access effective quality first teaching. </w:t>
            </w:r>
          </w:p>
          <w:p w14:paraId="33E008EC" w14:textId="77777777" w:rsidR="004E5A5B" w:rsidRDefault="004E5A5B" w:rsidP="004E5A5B">
            <w:r w:rsidRPr="004E5A5B">
              <w:rPr>
                <w:rFonts w:ascii="Segoe UI Symbol" w:hAnsi="Segoe UI Symbol" w:cs="Segoe UI Symbol"/>
              </w:rPr>
              <w:t>➢</w:t>
            </w:r>
            <w:r>
              <w:t xml:space="preserve"> Provide targeted intervention and support to quickly address identified gaps in learning including the use of small group work, 1:1 tuition. </w:t>
            </w:r>
          </w:p>
          <w:p w14:paraId="3C33BCB7" w14:textId="77777777" w:rsidR="004E5A5B" w:rsidRDefault="004E5A5B" w:rsidP="004E5A5B">
            <w:r w:rsidRPr="004E5A5B">
              <w:rPr>
                <w:rFonts w:ascii="Segoe UI Symbol" w:hAnsi="Segoe UI Symbol" w:cs="Segoe UI Symbol"/>
              </w:rPr>
              <w:t>➢</w:t>
            </w:r>
            <w:r>
              <w:t xml:space="preserve"> Target funding to ensure that all pupils have access to trips, </w:t>
            </w:r>
            <w:proofErr w:type="spellStart"/>
            <w:r>
              <w:t>residentials</w:t>
            </w:r>
            <w:proofErr w:type="spellEnd"/>
            <w:r>
              <w:t xml:space="preserve">, first hand learning experiences. </w:t>
            </w:r>
          </w:p>
          <w:p w14:paraId="687AD228" w14:textId="77777777" w:rsidR="004E5A5B" w:rsidRDefault="004E5A5B" w:rsidP="004E5A5B">
            <w:r w:rsidRPr="004E5A5B">
              <w:rPr>
                <w:rFonts w:ascii="Segoe UI Symbol" w:hAnsi="Segoe UI Symbol" w:cs="Segoe UI Symbol"/>
              </w:rPr>
              <w:t>➢</w:t>
            </w:r>
            <w:r>
              <w:t xml:space="preserve"> Provide opportunities for all pupils to participate in enrichment activities including sport and music. </w:t>
            </w:r>
          </w:p>
          <w:p w14:paraId="7CED37FF" w14:textId="77777777" w:rsidR="004E5A5B" w:rsidRDefault="004E5A5B" w:rsidP="004E5A5B">
            <w:r w:rsidRPr="004E5A5B">
              <w:rPr>
                <w:rFonts w:ascii="Segoe UI Symbol" w:hAnsi="Segoe UI Symbol" w:cs="Segoe UI Symbol"/>
              </w:rPr>
              <w:lastRenderedPageBreak/>
              <w:t>➢</w:t>
            </w:r>
            <w:r>
              <w:t xml:space="preserve"> Provide appropriate nurture support to enable pupils to access learning within and beyond the classroom. This is not an exhaustive list and strategies will change and develop based on the needs of individuals. </w:t>
            </w:r>
          </w:p>
          <w:p w14:paraId="0F6DDC2C" w14:textId="77777777" w:rsidR="004E5A5B" w:rsidRDefault="004E5A5B" w:rsidP="004E5A5B">
            <w:r>
              <w:t xml:space="preserve">Key Principals: </w:t>
            </w:r>
          </w:p>
          <w:p w14:paraId="2A7D54E9" w14:textId="740F70F8" w:rsidR="00E66558" w:rsidRPr="004E5A5B" w:rsidRDefault="004E5A5B" w:rsidP="004E5A5B">
            <w:r>
              <w:t>We will ensure that effective teaching, learning and assessment meets the needs of all pupils through the rigorous analysis of data. Class teachers will identify through the class pupil premium plan specific intervention and support for individual pupils which will be reviewed at least termly. Alongside academic support, we will ensure that those pupils who have social, emotional and mental health needs will access high quality provision from appropriately trained adults.</w:t>
            </w:r>
          </w:p>
        </w:tc>
      </w:tr>
    </w:tbl>
    <w:p w14:paraId="15A9BCEC" w14:textId="625BFFA4" w:rsidR="0070735C" w:rsidRDefault="009D71E8" w:rsidP="004E5A5B">
      <w:pPr>
        <w:pStyle w:val="Heading2"/>
        <w:spacing w:before="600"/>
      </w:pPr>
      <w:r>
        <w:lastRenderedPageBreak/>
        <w:t>Challenges</w:t>
      </w:r>
    </w:p>
    <w:p w14:paraId="7E6B1775" w14:textId="35E293E0" w:rsidR="00360496" w:rsidRPr="00360496" w:rsidRDefault="00360496" w:rsidP="00360496">
      <w:r>
        <w:t xml:space="preserve">1 2 4 especially in maths. 5 Intended outcomes This explains the outcomes we are aiming for by the end of our current strategy plan, and how we will measure whether they have been achieved. 6 </w:t>
      </w:r>
    </w:p>
    <w:tbl>
      <w:tblPr>
        <w:tblW w:w="5000" w:type="pct"/>
        <w:tblCellMar>
          <w:left w:w="10" w:type="dxa"/>
          <w:right w:w="10" w:type="dxa"/>
        </w:tblCellMar>
        <w:tblLook w:val="04A0" w:firstRow="1" w:lastRow="0" w:firstColumn="1" w:lastColumn="0" w:noHBand="0" w:noVBand="1"/>
      </w:tblPr>
      <w:tblGrid>
        <w:gridCol w:w="1477"/>
        <w:gridCol w:w="4515"/>
        <w:gridCol w:w="3494"/>
      </w:tblGrid>
      <w:tr w:rsidR="00207A98" w14:paraId="2A7D54EF" w14:textId="56237E94" w:rsidTr="00207A98">
        <w:tc>
          <w:tcPr>
            <w:tcW w:w="1477" w:type="dxa"/>
            <w:tcBorders>
              <w:top w:val="single" w:sz="4" w:space="0" w:color="000000"/>
              <w:left w:val="single" w:sz="4" w:space="0" w:color="000000"/>
              <w:bottom w:val="single" w:sz="4" w:space="0" w:color="000000"/>
              <w:right w:val="single" w:sz="4" w:space="0" w:color="000000"/>
            </w:tcBorders>
            <w:shd w:val="clear" w:color="auto" w:fill="D8E2E9"/>
            <w:tcMar>
              <w:top w:w="0" w:type="dxa"/>
              <w:left w:w="108" w:type="dxa"/>
              <w:bottom w:w="0" w:type="dxa"/>
              <w:right w:w="108" w:type="dxa"/>
            </w:tcMar>
          </w:tcPr>
          <w:p w14:paraId="2A7D54ED" w14:textId="77777777" w:rsidR="00207A98" w:rsidRDefault="00207A98">
            <w:pPr>
              <w:pStyle w:val="TableHeader"/>
              <w:jc w:val="left"/>
            </w:pPr>
            <w:r>
              <w:t>Challenge number</w:t>
            </w:r>
          </w:p>
        </w:tc>
        <w:tc>
          <w:tcPr>
            <w:tcW w:w="4515" w:type="dxa"/>
            <w:tcBorders>
              <w:top w:val="single" w:sz="4" w:space="0" w:color="000000"/>
              <w:left w:val="single" w:sz="4" w:space="0" w:color="000000"/>
              <w:bottom w:val="single" w:sz="4" w:space="0" w:color="000000"/>
              <w:right w:val="single" w:sz="4" w:space="0" w:color="000000"/>
            </w:tcBorders>
            <w:shd w:val="clear" w:color="auto" w:fill="D8E2E9"/>
            <w:tcMar>
              <w:top w:w="0" w:type="dxa"/>
              <w:left w:w="108" w:type="dxa"/>
              <w:bottom w:w="0" w:type="dxa"/>
              <w:right w:w="108" w:type="dxa"/>
            </w:tcMar>
          </w:tcPr>
          <w:p w14:paraId="2A7D54EE" w14:textId="77777777" w:rsidR="00207A98" w:rsidRDefault="00207A98">
            <w:pPr>
              <w:pStyle w:val="TableHeader"/>
              <w:jc w:val="left"/>
            </w:pPr>
            <w:r>
              <w:t xml:space="preserve">Detail of challenge </w:t>
            </w:r>
          </w:p>
        </w:tc>
        <w:tc>
          <w:tcPr>
            <w:tcW w:w="3494" w:type="dxa"/>
            <w:tcBorders>
              <w:top w:val="single" w:sz="4" w:space="0" w:color="000000"/>
              <w:left w:val="single" w:sz="4" w:space="0" w:color="000000"/>
              <w:bottom w:val="single" w:sz="4" w:space="0" w:color="000000"/>
              <w:right w:val="single" w:sz="4" w:space="0" w:color="000000"/>
            </w:tcBorders>
            <w:shd w:val="clear" w:color="auto" w:fill="D8E2E9"/>
          </w:tcPr>
          <w:p w14:paraId="2ABBCF8E" w14:textId="77777777" w:rsidR="00207A98" w:rsidRDefault="00207A98">
            <w:pPr>
              <w:pStyle w:val="TableHeader"/>
              <w:jc w:val="left"/>
            </w:pPr>
          </w:p>
        </w:tc>
      </w:tr>
      <w:tr w:rsidR="00207A98" w14:paraId="2A7D54F2" w14:textId="0216419F" w:rsidTr="00207A98">
        <w:tc>
          <w:tcPr>
            <w:tcW w:w="14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7D54F0" w14:textId="52CDFAA7" w:rsidR="00207A98" w:rsidRDefault="00207A98" w:rsidP="004E5A5B">
            <w:pPr>
              <w:pStyle w:val="TableRow"/>
              <w:rPr>
                <w:sz w:val="22"/>
                <w:szCs w:val="22"/>
              </w:rPr>
            </w:pPr>
            <w:r>
              <w:t xml:space="preserve">1 </w:t>
            </w:r>
          </w:p>
        </w:tc>
        <w:tc>
          <w:tcPr>
            <w:tcW w:w="451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7D54F1" w14:textId="1EF7B41E" w:rsidR="00207A98" w:rsidRDefault="00207A98" w:rsidP="004E5A5B">
            <w:r w:rsidRPr="00A53AF9">
              <w:t xml:space="preserve">Social, emotional and mental health </w:t>
            </w:r>
          </w:p>
        </w:tc>
        <w:tc>
          <w:tcPr>
            <w:tcW w:w="3494" w:type="dxa"/>
            <w:tcBorders>
              <w:top w:val="single" w:sz="4" w:space="0" w:color="000000"/>
              <w:left w:val="single" w:sz="4" w:space="0" w:color="000000"/>
              <w:bottom w:val="single" w:sz="4" w:space="0" w:color="000000"/>
              <w:right w:val="single" w:sz="4" w:space="0" w:color="000000"/>
            </w:tcBorders>
          </w:tcPr>
          <w:p w14:paraId="2AE02BBB" w14:textId="12651E8A" w:rsidR="00627C16" w:rsidRPr="00A53AF9" w:rsidRDefault="00E33E84" w:rsidP="004E5A5B">
            <w:r>
              <w:t xml:space="preserve">The aftermath of the pandemic has seen a rise in the number of children who are requiring nurture time and a more bespoke curriculum to support their emotional needs and mental health. Next year will see us being above national average for the number of SEND children in in our school. </w:t>
            </w:r>
          </w:p>
        </w:tc>
      </w:tr>
      <w:tr w:rsidR="00207A98" w14:paraId="2A7D54F5" w14:textId="74FA7CE6" w:rsidTr="00207A98">
        <w:tc>
          <w:tcPr>
            <w:tcW w:w="14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7D54F3" w14:textId="175DE268" w:rsidR="00207A98" w:rsidRDefault="00207A98" w:rsidP="004E5A5B">
            <w:pPr>
              <w:pStyle w:val="TableRow"/>
              <w:rPr>
                <w:sz w:val="22"/>
                <w:szCs w:val="22"/>
              </w:rPr>
            </w:pPr>
            <w:r>
              <w:t xml:space="preserve">2 </w:t>
            </w:r>
          </w:p>
        </w:tc>
        <w:tc>
          <w:tcPr>
            <w:tcW w:w="451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7D54F4" w14:textId="63EFF744" w:rsidR="00207A98" w:rsidRPr="003C5B6A" w:rsidRDefault="00207A98" w:rsidP="004E5A5B">
            <w:r w:rsidRPr="00A53AF9">
              <w:t>Gaps in reading, writing, maths and phonics,</w:t>
            </w:r>
          </w:p>
        </w:tc>
        <w:tc>
          <w:tcPr>
            <w:tcW w:w="3494" w:type="dxa"/>
            <w:tcBorders>
              <w:top w:val="single" w:sz="4" w:space="0" w:color="000000"/>
              <w:left w:val="single" w:sz="4" w:space="0" w:color="000000"/>
              <w:bottom w:val="single" w:sz="4" w:space="0" w:color="000000"/>
              <w:right w:val="single" w:sz="4" w:space="0" w:color="000000"/>
            </w:tcBorders>
          </w:tcPr>
          <w:p w14:paraId="48967DD6" w14:textId="0AA1785D" w:rsidR="00207A98" w:rsidRPr="00A53AF9" w:rsidRDefault="00207A98" w:rsidP="00D60287">
            <w:r>
              <w:t xml:space="preserve">Assessments, observations, and discussions with pupils suggest disadvantaged pupils generally have greater difficulties with phonics than their peers. This negatively impacts their development as readers. </w:t>
            </w:r>
          </w:p>
        </w:tc>
      </w:tr>
      <w:tr w:rsidR="00207A98" w14:paraId="2A7D54F8" w14:textId="5066655D" w:rsidTr="00207A98">
        <w:tc>
          <w:tcPr>
            <w:tcW w:w="14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7D54F6" w14:textId="5E3167CE" w:rsidR="00207A98" w:rsidRDefault="00207A98" w:rsidP="004E5A5B">
            <w:pPr>
              <w:pStyle w:val="TableRow"/>
              <w:rPr>
                <w:sz w:val="22"/>
                <w:szCs w:val="22"/>
              </w:rPr>
            </w:pPr>
            <w:r w:rsidRPr="00A53AF9">
              <w:t xml:space="preserve">3 </w:t>
            </w:r>
          </w:p>
        </w:tc>
        <w:tc>
          <w:tcPr>
            <w:tcW w:w="451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7D54F7" w14:textId="756750D9" w:rsidR="00207A98" w:rsidRPr="003C5B6A" w:rsidRDefault="00207A98" w:rsidP="004E5A5B">
            <w:r w:rsidRPr="00A53AF9">
              <w:t xml:space="preserve">Speech, language and communication </w:t>
            </w:r>
          </w:p>
        </w:tc>
        <w:tc>
          <w:tcPr>
            <w:tcW w:w="3494" w:type="dxa"/>
            <w:tcBorders>
              <w:top w:val="single" w:sz="4" w:space="0" w:color="000000"/>
              <w:left w:val="single" w:sz="4" w:space="0" w:color="000000"/>
              <w:bottom w:val="single" w:sz="4" w:space="0" w:color="000000"/>
              <w:right w:val="single" w:sz="4" w:space="0" w:color="000000"/>
            </w:tcBorders>
          </w:tcPr>
          <w:p w14:paraId="034B8CD6" w14:textId="64F1BD4F" w:rsidR="00207A98" w:rsidRPr="00A53AF9" w:rsidRDefault="00207A98" w:rsidP="00207A98">
            <w:r>
              <w:t xml:space="preserve">Assessments, observations, and discussions with pupils indicate underdeveloped oral language </w:t>
            </w:r>
            <w:r>
              <w:lastRenderedPageBreak/>
              <w:t xml:space="preserve">skills gaps among many disadvantaged pupils. These are evident from Reception through to KS2 </w:t>
            </w:r>
          </w:p>
        </w:tc>
      </w:tr>
      <w:tr w:rsidR="00207A98" w14:paraId="2A7D54FB" w14:textId="04669E60" w:rsidTr="00207A98">
        <w:tc>
          <w:tcPr>
            <w:tcW w:w="14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7D54F9" w14:textId="4341266A" w:rsidR="00207A98" w:rsidRPr="004E5A5B" w:rsidRDefault="00207A98" w:rsidP="004E5A5B">
            <w:pPr>
              <w:pStyle w:val="TableRow"/>
            </w:pPr>
            <w:r w:rsidRPr="00A53AF9">
              <w:lastRenderedPageBreak/>
              <w:t xml:space="preserve">4 </w:t>
            </w:r>
          </w:p>
        </w:tc>
        <w:tc>
          <w:tcPr>
            <w:tcW w:w="451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7D54FA" w14:textId="6EC6BC28" w:rsidR="00207A98" w:rsidRDefault="00207A98" w:rsidP="004E5A5B">
            <w:pPr>
              <w:rPr>
                <w:iCs/>
                <w:sz w:val="22"/>
              </w:rPr>
            </w:pPr>
            <w:r>
              <w:t xml:space="preserve">Attendance and punctuality </w:t>
            </w:r>
          </w:p>
        </w:tc>
        <w:tc>
          <w:tcPr>
            <w:tcW w:w="3494" w:type="dxa"/>
            <w:tcBorders>
              <w:top w:val="single" w:sz="4" w:space="0" w:color="000000"/>
              <w:left w:val="single" w:sz="4" w:space="0" w:color="000000"/>
              <w:bottom w:val="single" w:sz="4" w:space="0" w:color="000000"/>
              <w:right w:val="single" w:sz="4" w:space="0" w:color="000000"/>
            </w:tcBorders>
          </w:tcPr>
          <w:p w14:paraId="6FD677EE" w14:textId="28643F4D" w:rsidR="00207A98" w:rsidRDefault="00207A98" w:rsidP="00D60287">
            <w:r>
              <w:t>Our assessments and observations indicate that absenteeism is negatively impacting</w:t>
            </w:r>
            <w:r w:rsidR="00D60287">
              <w:t xml:space="preserve"> </w:t>
            </w:r>
            <w:r>
              <w:t xml:space="preserve"> pupils’ progress.</w:t>
            </w:r>
          </w:p>
        </w:tc>
      </w:tr>
      <w:tr w:rsidR="00207A98" w14:paraId="2A7D54FE" w14:textId="11C3D8FF" w:rsidTr="00207A98">
        <w:tc>
          <w:tcPr>
            <w:tcW w:w="14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7D54FC" w14:textId="194E047B" w:rsidR="00207A98" w:rsidRDefault="00207A98" w:rsidP="004E5A5B">
            <w:pPr>
              <w:pStyle w:val="TableRow"/>
              <w:rPr>
                <w:sz w:val="22"/>
                <w:szCs w:val="22"/>
              </w:rPr>
            </w:pPr>
            <w:r w:rsidRPr="00A53AF9">
              <w:t xml:space="preserve">5 </w:t>
            </w:r>
          </w:p>
        </w:tc>
        <w:tc>
          <w:tcPr>
            <w:tcW w:w="451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17A819" w14:textId="77777777" w:rsidR="00207A98" w:rsidRDefault="00207A98" w:rsidP="004E5A5B">
            <w:pPr>
              <w:pStyle w:val="TableRowCentered"/>
              <w:ind w:left="0"/>
              <w:jc w:val="left"/>
            </w:pPr>
            <w:r w:rsidRPr="00A53AF9">
              <w:t>Access to wider opportuniti</w:t>
            </w:r>
            <w:r>
              <w:t>es</w:t>
            </w:r>
          </w:p>
          <w:p w14:paraId="2A7D54FD" w14:textId="73EDA674" w:rsidR="00207A98" w:rsidRDefault="00207A98" w:rsidP="004E5A5B">
            <w:pPr>
              <w:pStyle w:val="TableRowCentered"/>
              <w:ind w:left="0"/>
              <w:jc w:val="left"/>
              <w:rPr>
                <w:iCs/>
                <w:sz w:val="22"/>
              </w:rPr>
            </w:pPr>
          </w:p>
        </w:tc>
        <w:tc>
          <w:tcPr>
            <w:tcW w:w="3494" w:type="dxa"/>
            <w:tcBorders>
              <w:top w:val="single" w:sz="4" w:space="0" w:color="000000"/>
              <w:left w:val="single" w:sz="4" w:space="0" w:color="000000"/>
              <w:bottom w:val="single" w:sz="4" w:space="0" w:color="000000"/>
              <w:right w:val="single" w:sz="4" w:space="0" w:color="000000"/>
            </w:tcBorders>
          </w:tcPr>
          <w:p w14:paraId="2168566D" w14:textId="1FD144BB" w:rsidR="00207A98" w:rsidRPr="00A53AF9" w:rsidRDefault="00207A98" w:rsidP="00207A98">
            <w:pPr>
              <w:pStyle w:val="TableRowCentered"/>
              <w:ind w:left="0"/>
              <w:jc w:val="left"/>
            </w:pPr>
            <w:r>
              <w:t xml:space="preserve">Our assessments, observations and discussions with pupils and families have identified compounded social and emotional issues for many pupils and with an increased lack of enrichment opportunities during school closure. </w:t>
            </w:r>
          </w:p>
        </w:tc>
      </w:tr>
      <w:tr w:rsidR="00207A98" w14:paraId="18429FC0" w14:textId="3AC85862" w:rsidTr="00207A98">
        <w:tc>
          <w:tcPr>
            <w:tcW w:w="14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CA4BE8" w14:textId="5927937B" w:rsidR="00207A98" w:rsidRPr="00A53AF9" w:rsidRDefault="00207A98" w:rsidP="004E5A5B">
            <w:pPr>
              <w:pStyle w:val="TableRow"/>
            </w:pPr>
            <w:r>
              <w:t xml:space="preserve">6 </w:t>
            </w:r>
          </w:p>
        </w:tc>
        <w:tc>
          <w:tcPr>
            <w:tcW w:w="451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A25814" w14:textId="77777777" w:rsidR="00207A98" w:rsidRDefault="00207A98" w:rsidP="004E5A5B">
            <w:pPr>
              <w:pStyle w:val="TableRowCentered"/>
              <w:ind w:left="0"/>
              <w:jc w:val="left"/>
            </w:pPr>
            <w:r>
              <w:t>Parental engagement</w:t>
            </w:r>
          </w:p>
          <w:p w14:paraId="00CECAB1" w14:textId="1CFE1CC4" w:rsidR="00207A98" w:rsidRPr="00A53AF9" w:rsidRDefault="00207A98" w:rsidP="004E5A5B">
            <w:pPr>
              <w:pStyle w:val="TableRowCentered"/>
              <w:ind w:left="0"/>
              <w:jc w:val="left"/>
            </w:pPr>
          </w:p>
        </w:tc>
        <w:tc>
          <w:tcPr>
            <w:tcW w:w="3494" w:type="dxa"/>
            <w:tcBorders>
              <w:top w:val="single" w:sz="4" w:space="0" w:color="000000"/>
              <w:left w:val="single" w:sz="4" w:space="0" w:color="000000"/>
              <w:bottom w:val="single" w:sz="4" w:space="0" w:color="000000"/>
              <w:right w:val="single" w:sz="4" w:space="0" w:color="000000"/>
            </w:tcBorders>
          </w:tcPr>
          <w:p w14:paraId="32F377B3" w14:textId="70CD83D4" w:rsidR="00207A98" w:rsidRDefault="00207A98" w:rsidP="004E5A5B">
            <w:pPr>
              <w:pStyle w:val="TableRowCentered"/>
              <w:ind w:left="0"/>
              <w:jc w:val="left"/>
            </w:pPr>
            <w:r>
              <w:t>Our assessments and observations indicate that the education and wellbeing of many of our disadvantaged pupils have been impacted by partial school closures to a greater extent than for other pupils. These findings are supported by national studies. This has resulted in significant knowledge gaps leading to pupils falling further behind age-related expectations,</w:t>
            </w:r>
          </w:p>
        </w:tc>
      </w:tr>
    </w:tbl>
    <w:p w14:paraId="2A7D54FF" w14:textId="77777777" w:rsidR="00E66558" w:rsidRDefault="009D71E8">
      <w:pPr>
        <w:pStyle w:val="Heading2"/>
        <w:spacing w:before="600"/>
      </w:pPr>
      <w:bookmarkStart w:id="16" w:name="_Toc443397160"/>
      <w:r>
        <w:t xml:space="preserve">Intended outcomes </w:t>
      </w:r>
    </w:p>
    <w:p w14:paraId="0E3D2088" w14:textId="746186B9" w:rsidR="00360496" w:rsidRPr="00D60287" w:rsidRDefault="009D71E8">
      <w:pPr>
        <w:rPr>
          <w:color w:val="auto"/>
        </w:rPr>
      </w:pPr>
      <w:r>
        <w:rPr>
          <w:color w:val="auto"/>
        </w:rPr>
        <w:t xml:space="preserve">This explains the outcomes we are aiming for </w:t>
      </w:r>
      <w:r>
        <w:rPr>
          <w:b/>
          <w:bCs/>
          <w:color w:val="auto"/>
        </w:rPr>
        <w:t>by the end of our current strategy plan</w:t>
      </w:r>
      <w:r>
        <w:rPr>
          <w:color w:val="auto"/>
        </w:rPr>
        <w:t>, and how we will measure whether they have been achieved.</w:t>
      </w:r>
    </w:p>
    <w:tbl>
      <w:tblPr>
        <w:tblW w:w="5000" w:type="pct"/>
        <w:tblCellMar>
          <w:left w:w="10" w:type="dxa"/>
          <w:right w:w="10" w:type="dxa"/>
        </w:tblCellMar>
        <w:tblLook w:val="04A0" w:firstRow="1" w:lastRow="0" w:firstColumn="1" w:lastColumn="0" w:noHBand="0" w:noVBand="1"/>
      </w:tblPr>
      <w:tblGrid>
        <w:gridCol w:w="4815"/>
        <w:gridCol w:w="4671"/>
      </w:tblGrid>
      <w:tr w:rsidR="00E66558" w14:paraId="2A7D5503" w14:textId="77777777">
        <w:tc>
          <w:tcPr>
            <w:tcW w:w="4815" w:type="dxa"/>
            <w:tcBorders>
              <w:top w:val="single" w:sz="4" w:space="0" w:color="000000"/>
              <w:left w:val="single" w:sz="4" w:space="0" w:color="000000"/>
              <w:bottom w:val="single" w:sz="4" w:space="0" w:color="000000"/>
              <w:right w:val="single" w:sz="4" w:space="0" w:color="000000"/>
            </w:tcBorders>
            <w:shd w:val="clear" w:color="auto" w:fill="D8E2E9"/>
            <w:tcMar>
              <w:top w:w="0" w:type="dxa"/>
              <w:left w:w="108" w:type="dxa"/>
              <w:bottom w:w="0" w:type="dxa"/>
              <w:right w:w="108" w:type="dxa"/>
            </w:tcMar>
          </w:tcPr>
          <w:p w14:paraId="2A7D5501" w14:textId="77777777" w:rsidR="00E66558" w:rsidRDefault="009D71E8">
            <w:pPr>
              <w:pStyle w:val="TableHeader"/>
              <w:jc w:val="left"/>
            </w:pPr>
            <w:r>
              <w:t>Intended outcome</w:t>
            </w:r>
          </w:p>
        </w:tc>
        <w:tc>
          <w:tcPr>
            <w:tcW w:w="4671" w:type="dxa"/>
            <w:tcBorders>
              <w:top w:val="single" w:sz="4" w:space="0" w:color="000000"/>
              <w:left w:val="single" w:sz="4" w:space="0" w:color="000000"/>
              <w:bottom w:val="single" w:sz="4" w:space="0" w:color="000000"/>
              <w:right w:val="single" w:sz="4" w:space="0" w:color="000000"/>
            </w:tcBorders>
            <w:shd w:val="clear" w:color="auto" w:fill="D8E2E9"/>
            <w:tcMar>
              <w:top w:w="0" w:type="dxa"/>
              <w:left w:w="108" w:type="dxa"/>
              <w:bottom w:w="0" w:type="dxa"/>
              <w:right w:w="108" w:type="dxa"/>
            </w:tcMar>
          </w:tcPr>
          <w:p w14:paraId="2A7D5502" w14:textId="77777777" w:rsidR="00E66558" w:rsidRDefault="009D71E8">
            <w:pPr>
              <w:pStyle w:val="TableHeader"/>
              <w:jc w:val="left"/>
            </w:pPr>
            <w:r>
              <w:t>Success criteria</w:t>
            </w:r>
          </w:p>
        </w:tc>
      </w:tr>
      <w:tr w:rsidR="00E66558" w14:paraId="2A7D5506" w14:textId="77777777">
        <w:tc>
          <w:tcPr>
            <w:tcW w:w="481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7D5504" w14:textId="3CC804A5" w:rsidR="00E66558" w:rsidRDefault="00395360">
            <w:pPr>
              <w:pStyle w:val="TableRow"/>
            </w:pPr>
            <w:r>
              <w:rPr>
                <w:i/>
                <w:iCs/>
                <w:sz w:val="22"/>
                <w:szCs w:val="22"/>
              </w:rPr>
              <w:t>Reading, Writing, Maths</w:t>
            </w:r>
          </w:p>
        </w:tc>
        <w:tc>
          <w:tcPr>
            <w:tcW w:w="46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237E454" w14:textId="77777777" w:rsidR="00E66558" w:rsidRDefault="00395360">
            <w:pPr>
              <w:pStyle w:val="TableRowCentered"/>
              <w:jc w:val="left"/>
            </w:pPr>
            <w:r>
              <w:t>Achieve outcomes in-line with, or above, national average for all groups with progress being at least expected with some progress being better than expected.</w:t>
            </w:r>
          </w:p>
          <w:p w14:paraId="2A7D5505" w14:textId="09B45111" w:rsidR="00207A98" w:rsidRDefault="00207A98">
            <w:pPr>
              <w:pStyle w:val="TableRowCentered"/>
              <w:jc w:val="left"/>
              <w:rPr>
                <w:sz w:val="22"/>
                <w:szCs w:val="22"/>
              </w:rPr>
            </w:pPr>
            <w:r>
              <w:t xml:space="preserve">Improved oral language skills and vocabulary among disadvantaged pupils. Assessments and observations indicate significantly improved oral </w:t>
            </w:r>
            <w:r>
              <w:lastRenderedPageBreak/>
              <w:t>language and vocabulary among disadvantaged pupils. This is evident when triangulated with other sources of evidence, including engagement in lessons, book scrutiny and ongoing formative assessment. Improved reading attainment among disadvantaged pupils.</w:t>
            </w:r>
          </w:p>
        </w:tc>
      </w:tr>
      <w:tr w:rsidR="00E66558" w14:paraId="2A7D5509" w14:textId="77777777">
        <w:tc>
          <w:tcPr>
            <w:tcW w:w="481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7D5507" w14:textId="2CE5133F" w:rsidR="00E66558" w:rsidRDefault="00395360">
            <w:pPr>
              <w:pStyle w:val="TableRow"/>
              <w:rPr>
                <w:sz w:val="22"/>
                <w:szCs w:val="22"/>
              </w:rPr>
            </w:pPr>
            <w:r>
              <w:lastRenderedPageBreak/>
              <w:t>Phonics</w:t>
            </w:r>
          </w:p>
        </w:tc>
        <w:tc>
          <w:tcPr>
            <w:tcW w:w="46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7D5508" w14:textId="39B9126B" w:rsidR="00E66558" w:rsidRDefault="00627C16">
            <w:pPr>
              <w:pStyle w:val="TableRowCentered"/>
              <w:jc w:val="left"/>
              <w:rPr>
                <w:sz w:val="22"/>
                <w:szCs w:val="22"/>
              </w:rPr>
            </w:pPr>
            <w:r>
              <w:t xml:space="preserve">At least above local authority and national </w:t>
            </w:r>
            <w:r w:rsidR="00395360">
              <w:t>% of pupils in Y1 achieve the expected standard in the phonics screening tests</w:t>
            </w:r>
          </w:p>
        </w:tc>
      </w:tr>
      <w:tr w:rsidR="00E66558" w14:paraId="2A7D550C" w14:textId="77777777">
        <w:tc>
          <w:tcPr>
            <w:tcW w:w="481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7D550A" w14:textId="4186398F" w:rsidR="00E66558" w:rsidRDefault="00395360">
            <w:pPr>
              <w:pStyle w:val="TableRow"/>
              <w:rPr>
                <w:sz w:val="22"/>
                <w:szCs w:val="22"/>
              </w:rPr>
            </w:pPr>
            <w:r>
              <w:t>Attendance</w:t>
            </w:r>
          </w:p>
        </w:tc>
        <w:tc>
          <w:tcPr>
            <w:tcW w:w="46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7D550B" w14:textId="1A7AE787" w:rsidR="00E66558" w:rsidRDefault="00395360">
            <w:pPr>
              <w:pStyle w:val="TableRowCentered"/>
              <w:jc w:val="left"/>
              <w:rPr>
                <w:sz w:val="22"/>
                <w:szCs w:val="22"/>
              </w:rPr>
            </w:pPr>
            <w:r>
              <w:t>Attendance for all pupils including those in receipt of Pupil Premium Funding is at least 96%.</w:t>
            </w:r>
          </w:p>
        </w:tc>
      </w:tr>
      <w:tr w:rsidR="00E66558" w14:paraId="2A7D550F" w14:textId="77777777">
        <w:tc>
          <w:tcPr>
            <w:tcW w:w="481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7D550D" w14:textId="5ADB8652" w:rsidR="00E66558" w:rsidRDefault="00395360">
            <w:pPr>
              <w:pStyle w:val="TableRow"/>
              <w:rPr>
                <w:sz w:val="22"/>
                <w:szCs w:val="22"/>
              </w:rPr>
            </w:pPr>
            <w:r>
              <w:t>Improved wellbeing and mental health</w:t>
            </w:r>
          </w:p>
        </w:tc>
        <w:tc>
          <w:tcPr>
            <w:tcW w:w="46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7D550E" w14:textId="6494D5F0" w:rsidR="00207A98" w:rsidRPr="00D60287" w:rsidRDefault="00A3353C" w:rsidP="00D60287">
            <w:pPr>
              <w:pStyle w:val="TableRowCentered"/>
              <w:jc w:val="left"/>
            </w:pPr>
            <w:r>
              <w:t>E</w:t>
            </w:r>
            <w:r w:rsidR="00395360">
              <w:t xml:space="preserve">nrichment activities are accessible to all pupils and uptake is equally positive across all groups including disadvantaged pupils. All pupils have access to and engage with </w:t>
            </w:r>
            <w:r>
              <w:t xml:space="preserve">the </w:t>
            </w:r>
            <w:proofErr w:type="gramStart"/>
            <w:r>
              <w:t xml:space="preserve">jigsaw </w:t>
            </w:r>
            <w:r w:rsidR="00395360">
              <w:t xml:space="preserve"> curriculum</w:t>
            </w:r>
            <w:proofErr w:type="gramEnd"/>
            <w:r w:rsidR="00207A98">
              <w:t>. Sustained high levels of wellbeing  demonstrated from student voice, student and parent surveys and teacher observations.</w:t>
            </w:r>
          </w:p>
        </w:tc>
      </w:tr>
    </w:tbl>
    <w:p w14:paraId="2A06959E" w14:textId="6D0123DF" w:rsidR="00120AB1" w:rsidRDefault="00120AB1" w:rsidP="00BD4B12"/>
    <w:p w14:paraId="2A7D5512" w14:textId="7B489199" w:rsidR="00E66558" w:rsidRDefault="009D71E8">
      <w:pPr>
        <w:pStyle w:val="Heading2"/>
      </w:pPr>
      <w:r>
        <w:t>Activity in this academic year</w:t>
      </w:r>
    </w:p>
    <w:p w14:paraId="2A7D5513" w14:textId="603E7BD1" w:rsidR="00E66558" w:rsidRDefault="009D71E8">
      <w:pPr>
        <w:spacing w:after="480"/>
      </w:pPr>
      <w:r>
        <w:t>This details how we intend to spend our pupil premium (and recovery premium</w:t>
      </w:r>
      <w:r w:rsidR="00A112B5">
        <w:t>)</w:t>
      </w:r>
      <w:r>
        <w:t xml:space="preserve"> funding </w:t>
      </w:r>
      <w:r>
        <w:rPr>
          <w:b/>
          <w:bCs/>
        </w:rPr>
        <w:t>this academic year</w:t>
      </w:r>
      <w:r>
        <w:t xml:space="preserve"> to address the challenges listed above.</w:t>
      </w:r>
    </w:p>
    <w:p w14:paraId="2A7D5514" w14:textId="77777777" w:rsidR="00E66558" w:rsidRDefault="009D71E8">
      <w:pPr>
        <w:pStyle w:val="Heading3"/>
      </w:pPr>
      <w:r>
        <w:t>Teaching (for example, CPD, recruitment and retention)</w:t>
      </w:r>
    </w:p>
    <w:p w14:paraId="28307AFC" w14:textId="3DA92310" w:rsidR="00A3353C" w:rsidRPr="008E5CFA" w:rsidRDefault="009D71E8">
      <w:pPr>
        <w:rPr>
          <w:i/>
          <w:iCs/>
        </w:rPr>
      </w:pPr>
      <w:r>
        <w:t xml:space="preserve">Budgeted cost: £ </w:t>
      </w:r>
      <w:r w:rsidR="00090FB7">
        <w:t>15,000</w:t>
      </w:r>
    </w:p>
    <w:tbl>
      <w:tblPr>
        <w:tblW w:w="5000" w:type="pct"/>
        <w:tblCellMar>
          <w:left w:w="10" w:type="dxa"/>
          <w:right w:w="10" w:type="dxa"/>
        </w:tblCellMar>
        <w:tblLook w:val="04A0" w:firstRow="1" w:lastRow="0" w:firstColumn="1" w:lastColumn="0" w:noHBand="0" w:noVBand="1"/>
      </w:tblPr>
      <w:tblGrid>
        <w:gridCol w:w="2688"/>
        <w:gridCol w:w="4254"/>
        <w:gridCol w:w="2544"/>
      </w:tblGrid>
      <w:tr w:rsidR="00E66558" w14:paraId="2A7D5519" w14:textId="77777777">
        <w:tc>
          <w:tcPr>
            <w:tcW w:w="2688" w:type="dxa"/>
            <w:tcBorders>
              <w:top w:val="single" w:sz="4" w:space="0" w:color="000000"/>
              <w:left w:val="single" w:sz="4" w:space="0" w:color="000000"/>
              <w:bottom w:val="single" w:sz="4" w:space="0" w:color="000000"/>
              <w:right w:val="single" w:sz="4" w:space="0" w:color="000000"/>
            </w:tcBorders>
            <w:shd w:val="clear" w:color="auto" w:fill="D8E2E9"/>
            <w:tcMar>
              <w:top w:w="0" w:type="dxa"/>
              <w:left w:w="108" w:type="dxa"/>
              <w:bottom w:w="0" w:type="dxa"/>
              <w:right w:w="108" w:type="dxa"/>
            </w:tcMar>
          </w:tcPr>
          <w:p w14:paraId="2A7D5516" w14:textId="77777777" w:rsidR="00E66558" w:rsidRDefault="009D71E8">
            <w:pPr>
              <w:pStyle w:val="TableHeader"/>
              <w:jc w:val="left"/>
            </w:pPr>
            <w:r>
              <w:t>Activity</w:t>
            </w:r>
          </w:p>
        </w:tc>
        <w:tc>
          <w:tcPr>
            <w:tcW w:w="4254" w:type="dxa"/>
            <w:tcBorders>
              <w:top w:val="single" w:sz="4" w:space="0" w:color="000000"/>
              <w:left w:val="single" w:sz="4" w:space="0" w:color="000000"/>
              <w:bottom w:val="single" w:sz="4" w:space="0" w:color="000000"/>
              <w:right w:val="single" w:sz="4" w:space="0" w:color="000000"/>
            </w:tcBorders>
            <w:shd w:val="clear" w:color="auto" w:fill="D8E2E9"/>
            <w:tcMar>
              <w:top w:w="0" w:type="dxa"/>
              <w:left w:w="108" w:type="dxa"/>
              <w:bottom w:w="0" w:type="dxa"/>
              <w:right w:w="108" w:type="dxa"/>
            </w:tcMar>
          </w:tcPr>
          <w:p w14:paraId="2A7D5517" w14:textId="77777777" w:rsidR="00E66558" w:rsidRDefault="009D71E8">
            <w:pPr>
              <w:pStyle w:val="TableHeader"/>
              <w:jc w:val="left"/>
            </w:pPr>
            <w:r>
              <w:t>Evidence that supports this approach</w:t>
            </w:r>
          </w:p>
        </w:tc>
        <w:tc>
          <w:tcPr>
            <w:tcW w:w="2544" w:type="dxa"/>
            <w:tcBorders>
              <w:top w:val="single" w:sz="4" w:space="0" w:color="000000"/>
              <w:left w:val="single" w:sz="4" w:space="0" w:color="000000"/>
              <w:bottom w:val="single" w:sz="4" w:space="0" w:color="000000"/>
              <w:right w:val="single" w:sz="4" w:space="0" w:color="000000"/>
            </w:tcBorders>
            <w:shd w:val="clear" w:color="auto" w:fill="D8E2E9"/>
            <w:tcMar>
              <w:top w:w="0" w:type="dxa"/>
              <w:left w:w="108" w:type="dxa"/>
              <w:bottom w:w="0" w:type="dxa"/>
              <w:right w:w="108" w:type="dxa"/>
            </w:tcMar>
          </w:tcPr>
          <w:p w14:paraId="2A7D5518" w14:textId="77777777" w:rsidR="00E66558" w:rsidRDefault="009D71E8">
            <w:pPr>
              <w:pStyle w:val="TableHeader"/>
              <w:jc w:val="left"/>
            </w:pPr>
            <w:r>
              <w:t>Challenge number(s) addressed</w:t>
            </w:r>
          </w:p>
        </w:tc>
      </w:tr>
      <w:tr w:rsidR="00E66558" w14:paraId="2A7D551D" w14:textId="77777777">
        <w:tc>
          <w:tcPr>
            <w:tcW w:w="26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7D551A" w14:textId="31261769" w:rsidR="00E66558" w:rsidRDefault="00A3353C">
            <w:pPr>
              <w:pStyle w:val="TableRow"/>
            </w:pPr>
            <w:r>
              <w:rPr>
                <w:i/>
                <w:iCs/>
                <w:sz w:val="22"/>
                <w:szCs w:val="22"/>
              </w:rPr>
              <w:t>White Rose Maths introduced and all staff receive CDP</w:t>
            </w:r>
          </w:p>
        </w:tc>
        <w:tc>
          <w:tcPr>
            <w:tcW w:w="42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7D551B" w14:textId="52177D47" w:rsidR="00E66558" w:rsidRDefault="00A3353C" w:rsidP="00A3353C">
            <w:pPr>
              <w:pStyle w:val="TableRowCentered"/>
              <w:jc w:val="left"/>
              <w:rPr>
                <w:sz w:val="22"/>
              </w:rPr>
            </w:pPr>
            <w:r>
              <w:t xml:space="preserve">My Plans show clear progress towards individual targets, number confidence and basic skills in maths have improved. Work scrutiny and pupil conferencing show the improved progress. Staff feel confident delivering maths as a </w:t>
            </w:r>
            <w:r w:rsidR="00B163C0">
              <w:t>targeted</w:t>
            </w:r>
            <w:r>
              <w:t xml:space="preserve"> intervention</w:t>
            </w:r>
          </w:p>
        </w:tc>
        <w:tc>
          <w:tcPr>
            <w:tcW w:w="25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7D551C" w14:textId="52067DD8" w:rsidR="00E66558" w:rsidRPr="00AD2E0A" w:rsidRDefault="00D60287">
            <w:pPr>
              <w:pStyle w:val="TableRowCentered"/>
              <w:jc w:val="left"/>
              <w:rPr>
                <w:szCs w:val="24"/>
              </w:rPr>
            </w:pPr>
            <w:r w:rsidRPr="00AD2E0A">
              <w:rPr>
                <w:szCs w:val="24"/>
              </w:rPr>
              <w:t>2,6</w:t>
            </w:r>
          </w:p>
        </w:tc>
      </w:tr>
      <w:tr w:rsidR="00E66558" w14:paraId="2A7D5521" w14:textId="77777777">
        <w:tc>
          <w:tcPr>
            <w:tcW w:w="26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7D551E" w14:textId="735C737E" w:rsidR="00E66558" w:rsidRDefault="008E5CFA" w:rsidP="008E5CFA">
            <w:pPr>
              <w:pStyle w:val="TableRow"/>
              <w:rPr>
                <w:i/>
                <w:sz w:val="22"/>
              </w:rPr>
            </w:pPr>
            <w:r>
              <w:t xml:space="preserve">Enhancing early reading resources, </w:t>
            </w:r>
            <w:r>
              <w:lastRenderedPageBreak/>
              <w:t xml:space="preserve">support and training provided for all staff around early reading and phonics. </w:t>
            </w:r>
          </w:p>
        </w:tc>
        <w:tc>
          <w:tcPr>
            <w:tcW w:w="42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7D551F" w14:textId="0383AE8B" w:rsidR="00E66558" w:rsidRDefault="008E5CFA" w:rsidP="008E5CFA">
            <w:pPr>
              <w:pStyle w:val="TableRowCentered"/>
              <w:jc w:val="left"/>
              <w:rPr>
                <w:sz w:val="22"/>
              </w:rPr>
            </w:pPr>
            <w:r>
              <w:lastRenderedPageBreak/>
              <w:t xml:space="preserve">Phonics knowledge and understanding has improved with the </w:t>
            </w:r>
            <w:r>
              <w:lastRenderedPageBreak/>
              <w:t>% of disadvantaged pupils reaching the required standard in the Y1 phonics check</w:t>
            </w:r>
          </w:p>
        </w:tc>
        <w:tc>
          <w:tcPr>
            <w:tcW w:w="25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7D5520" w14:textId="5ABC5B08" w:rsidR="00E66558" w:rsidRPr="00AD2E0A" w:rsidRDefault="00D60287">
            <w:pPr>
              <w:pStyle w:val="TableRowCentered"/>
              <w:jc w:val="left"/>
              <w:rPr>
                <w:szCs w:val="24"/>
              </w:rPr>
            </w:pPr>
            <w:r w:rsidRPr="00AD2E0A">
              <w:rPr>
                <w:szCs w:val="24"/>
              </w:rPr>
              <w:lastRenderedPageBreak/>
              <w:t>2,3</w:t>
            </w:r>
          </w:p>
        </w:tc>
      </w:tr>
      <w:tr w:rsidR="00627C16" w14:paraId="19F52570" w14:textId="77777777">
        <w:tc>
          <w:tcPr>
            <w:tcW w:w="26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6E4BFC" w14:textId="7C855C85" w:rsidR="00627C16" w:rsidRDefault="00627C16" w:rsidP="008E5CFA">
            <w:pPr>
              <w:pStyle w:val="TableRow"/>
            </w:pPr>
            <w:r>
              <w:lastRenderedPageBreak/>
              <w:t>Quality first teaching CPD for teachers in all year</w:t>
            </w:r>
            <w:r w:rsidR="00E33E84">
              <w:t xml:space="preserve"> groups</w:t>
            </w:r>
            <w:r>
              <w:t xml:space="preserve">. National college, manage partnership support </w:t>
            </w:r>
          </w:p>
        </w:tc>
        <w:tc>
          <w:tcPr>
            <w:tcW w:w="42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65E35B" w14:textId="3014DC7C" w:rsidR="00627C16" w:rsidRDefault="00E33E84" w:rsidP="008E5CFA">
            <w:pPr>
              <w:pStyle w:val="TableRowCentered"/>
              <w:jc w:val="left"/>
            </w:pPr>
            <w:r>
              <w:t xml:space="preserve">There has been a real push to support Middle/Subject leaders with how to successfully lead a curriculum area through CPD such as a </w:t>
            </w:r>
            <w:proofErr w:type="gramStart"/>
            <w:r>
              <w:t>6 week</w:t>
            </w:r>
            <w:proofErr w:type="gramEnd"/>
            <w:r>
              <w:t xml:space="preserve"> Geography and History Leaders course, led by David Weatherly. The school has recently bought int</w:t>
            </w:r>
            <w:r w:rsidR="00C573B7">
              <w:t>o the National C</w:t>
            </w:r>
            <w:r>
              <w:t xml:space="preserve">ollege and Purple Mash, both of which provide training and resources to support the delivery of the curriculum. </w:t>
            </w:r>
          </w:p>
        </w:tc>
        <w:tc>
          <w:tcPr>
            <w:tcW w:w="25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CFE79C" w14:textId="39B7688C" w:rsidR="00627C16" w:rsidRPr="00AD2E0A" w:rsidRDefault="00C573B7">
            <w:pPr>
              <w:pStyle w:val="TableRowCentered"/>
              <w:jc w:val="left"/>
              <w:rPr>
                <w:szCs w:val="24"/>
              </w:rPr>
            </w:pPr>
            <w:r>
              <w:rPr>
                <w:szCs w:val="24"/>
              </w:rPr>
              <w:t>1,2,3,5</w:t>
            </w:r>
          </w:p>
        </w:tc>
      </w:tr>
    </w:tbl>
    <w:p w14:paraId="2A7D5522" w14:textId="77777777" w:rsidR="00E66558" w:rsidRDefault="00E66558" w:rsidP="00ED5108"/>
    <w:p w14:paraId="2A7D5523" w14:textId="5B2BE35F" w:rsidR="00E66558" w:rsidRPr="00AA355B" w:rsidRDefault="009D71E8" w:rsidP="00AA355B">
      <w:pPr>
        <w:pStyle w:val="Heading3"/>
      </w:pPr>
      <w:r>
        <w:t xml:space="preserve">Targeted academic support (for example, </w:t>
      </w:r>
      <w:r w:rsidR="00D33FE5">
        <w:t>tutoring, one-to-one support</w:t>
      </w:r>
      <w:r w:rsidR="00F776E1">
        <w:t>,</w:t>
      </w:r>
      <w:r w:rsidR="00D33FE5">
        <w:t xml:space="preserve"> </w:t>
      </w:r>
      <w:r>
        <w:t xml:space="preserve">structured interventions) </w:t>
      </w:r>
    </w:p>
    <w:p w14:paraId="2A7D5524" w14:textId="0E01AF4E" w:rsidR="00E66558" w:rsidRDefault="009D71E8">
      <w:pPr>
        <w:rPr>
          <w:i/>
          <w:iCs/>
        </w:rPr>
      </w:pPr>
      <w:r>
        <w:t xml:space="preserve">Budgeted cost: £ </w:t>
      </w:r>
      <w:r w:rsidR="00090FB7">
        <w:rPr>
          <w:i/>
          <w:iCs/>
        </w:rPr>
        <w:t>40,000</w:t>
      </w:r>
    </w:p>
    <w:p w14:paraId="1F1BA08D" w14:textId="172B9265" w:rsidR="008E5CFA" w:rsidRDefault="008E5CFA"/>
    <w:tbl>
      <w:tblPr>
        <w:tblW w:w="5000" w:type="pct"/>
        <w:tblCellMar>
          <w:left w:w="10" w:type="dxa"/>
          <w:right w:w="10" w:type="dxa"/>
        </w:tblCellMar>
        <w:tblLook w:val="04A0" w:firstRow="1" w:lastRow="0" w:firstColumn="1" w:lastColumn="0" w:noHBand="0" w:noVBand="1"/>
      </w:tblPr>
      <w:tblGrid>
        <w:gridCol w:w="2688"/>
        <w:gridCol w:w="4254"/>
        <w:gridCol w:w="2544"/>
      </w:tblGrid>
      <w:tr w:rsidR="00E66558" w14:paraId="2A7D5528" w14:textId="77777777">
        <w:tc>
          <w:tcPr>
            <w:tcW w:w="2688" w:type="dxa"/>
            <w:tcBorders>
              <w:top w:val="single" w:sz="4" w:space="0" w:color="000000"/>
              <w:left w:val="single" w:sz="4" w:space="0" w:color="000000"/>
              <w:bottom w:val="single" w:sz="4" w:space="0" w:color="000000"/>
              <w:right w:val="single" w:sz="4" w:space="0" w:color="000000"/>
            </w:tcBorders>
            <w:shd w:val="clear" w:color="auto" w:fill="D8E2E9"/>
            <w:tcMar>
              <w:top w:w="0" w:type="dxa"/>
              <w:left w:w="108" w:type="dxa"/>
              <w:bottom w:w="0" w:type="dxa"/>
              <w:right w:w="108" w:type="dxa"/>
            </w:tcMar>
          </w:tcPr>
          <w:p w14:paraId="2A7D5525" w14:textId="77777777" w:rsidR="00E66558" w:rsidRDefault="009D71E8">
            <w:pPr>
              <w:pStyle w:val="TableHeader"/>
              <w:jc w:val="left"/>
            </w:pPr>
            <w:r>
              <w:t>Activity</w:t>
            </w:r>
          </w:p>
        </w:tc>
        <w:tc>
          <w:tcPr>
            <w:tcW w:w="4254" w:type="dxa"/>
            <w:tcBorders>
              <w:top w:val="single" w:sz="4" w:space="0" w:color="000000"/>
              <w:left w:val="single" w:sz="4" w:space="0" w:color="000000"/>
              <w:bottom w:val="single" w:sz="4" w:space="0" w:color="000000"/>
              <w:right w:val="single" w:sz="4" w:space="0" w:color="000000"/>
            </w:tcBorders>
            <w:shd w:val="clear" w:color="auto" w:fill="D8E2E9"/>
            <w:tcMar>
              <w:top w:w="0" w:type="dxa"/>
              <w:left w:w="108" w:type="dxa"/>
              <w:bottom w:w="0" w:type="dxa"/>
              <w:right w:w="108" w:type="dxa"/>
            </w:tcMar>
          </w:tcPr>
          <w:p w14:paraId="2A7D5526" w14:textId="77777777" w:rsidR="00E66558" w:rsidRDefault="009D71E8">
            <w:pPr>
              <w:pStyle w:val="TableHeader"/>
              <w:jc w:val="left"/>
            </w:pPr>
            <w:r>
              <w:t>Evidence that supports this approach</w:t>
            </w:r>
          </w:p>
        </w:tc>
        <w:tc>
          <w:tcPr>
            <w:tcW w:w="2544" w:type="dxa"/>
            <w:tcBorders>
              <w:top w:val="single" w:sz="4" w:space="0" w:color="000000"/>
              <w:left w:val="single" w:sz="4" w:space="0" w:color="000000"/>
              <w:bottom w:val="single" w:sz="4" w:space="0" w:color="000000"/>
              <w:right w:val="single" w:sz="4" w:space="0" w:color="000000"/>
            </w:tcBorders>
            <w:shd w:val="clear" w:color="auto" w:fill="D8E2E9"/>
            <w:tcMar>
              <w:top w:w="0" w:type="dxa"/>
              <w:left w:w="108" w:type="dxa"/>
              <w:bottom w:w="0" w:type="dxa"/>
              <w:right w:w="108" w:type="dxa"/>
            </w:tcMar>
          </w:tcPr>
          <w:p w14:paraId="2A7D5527" w14:textId="77777777" w:rsidR="00E66558" w:rsidRDefault="009D71E8">
            <w:pPr>
              <w:pStyle w:val="TableHeader"/>
              <w:jc w:val="left"/>
            </w:pPr>
            <w:r>
              <w:t>Challenge number(s) addressed</w:t>
            </w:r>
          </w:p>
        </w:tc>
      </w:tr>
      <w:tr w:rsidR="00E66558" w14:paraId="2A7D552C" w14:textId="77777777">
        <w:tc>
          <w:tcPr>
            <w:tcW w:w="26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7D5529" w14:textId="731B26AF" w:rsidR="00E66558" w:rsidRDefault="008E5CFA" w:rsidP="008E5CFA">
            <w:pPr>
              <w:pStyle w:val="TableRow"/>
            </w:pPr>
            <w:r>
              <w:t xml:space="preserve">Early reading and phonics interventions across KS1 and EYFS </w:t>
            </w:r>
          </w:p>
        </w:tc>
        <w:tc>
          <w:tcPr>
            <w:tcW w:w="42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7D552A" w14:textId="69E68CA9" w:rsidR="00E66558" w:rsidRDefault="008E5CFA">
            <w:pPr>
              <w:pStyle w:val="TableRowCentered"/>
              <w:jc w:val="left"/>
              <w:rPr>
                <w:sz w:val="22"/>
              </w:rPr>
            </w:pPr>
            <w:r>
              <w:t>Language rich environments, staff training in phonics, enhanced early reading resources and targeted support for speech, language and communication have all supported progress of individual pupils and groups to make rapid progress across the course of the year.</w:t>
            </w:r>
          </w:p>
        </w:tc>
        <w:tc>
          <w:tcPr>
            <w:tcW w:w="25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7D552B" w14:textId="4DFEA61E" w:rsidR="00E66558" w:rsidRPr="00AD2E0A" w:rsidRDefault="00D60287">
            <w:pPr>
              <w:pStyle w:val="TableRowCentered"/>
              <w:jc w:val="left"/>
              <w:rPr>
                <w:szCs w:val="24"/>
              </w:rPr>
            </w:pPr>
            <w:r w:rsidRPr="00AD2E0A">
              <w:rPr>
                <w:szCs w:val="24"/>
              </w:rPr>
              <w:t>2,3,6,</w:t>
            </w:r>
          </w:p>
        </w:tc>
      </w:tr>
      <w:tr w:rsidR="00090FB7" w14:paraId="6D49BD23" w14:textId="77777777">
        <w:tc>
          <w:tcPr>
            <w:tcW w:w="26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B00449" w14:textId="068F47A8" w:rsidR="00090FB7" w:rsidRDefault="00090FB7" w:rsidP="008E5CFA">
            <w:pPr>
              <w:pStyle w:val="TableRow"/>
            </w:pPr>
            <w:r>
              <w:t>Screen all children in Reception for language and those children identified for speech.</w:t>
            </w:r>
          </w:p>
        </w:tc>
        <w:tc>
          <w:tcPr>
            <w:tcW w:w="42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A14121" w14:textId="60FBF6AA" w:rsidR="00090FB7" w:rsidRDefault="00090FB7">
            <w:pPr>
              <w:pStyle w:val="TableRowCentered"/>
              <w:jc w:val="left"/>
            </w:pPr>
            <w:r>
              <w:t>Language rich environments, staff training in phonics, enhanced early reading resources and targeted support for speech, language and communication have all supported progress of individual pupils and groups to make rapid progress across the course of the year.</w:t>
            </w:r>
          </w:p>
        </w:tc>
        <w:tc>
          <w:tcPr>
            <w:tcW w:w="25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4C7C50" w14:textId="5C1160E8" w:rsidR="00090FB7" w:rsidRPr="00AD2E0A" w:rsidRDefault="00090FB7">
            <w:pPr>
              <w:pStyle w:val="TableRowCentered"/>
              <w:jc w:val="left"/>
              <w:rPr>
                <w:szCs w:val="24"/>
              </w:rPr>
            </w:pPr>
            <w:r w:rsidRPr="00AD2E0A">
              <w:rPr>
                <w:szCs w:val="24"/>
              </w:rPr>
              <w:t>1,2,3</w:t>
            </w:r>
          </w:p>
        </w:tc>
      </w:tr>
      <w:tr w:rsidR="00E66558" w14:paraId="2A7D5530" w14:textId="77777777">
        <w:tc>
          <w:tcPr>
            <w:tcW w:w="26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7D552D" w14:textId="658B90A5" w:rsidR="00E66558" w:rsidRDefault="008E5CFA" w:rsidP="008E5CFA">
            <w:pPr>
              <w:pStyle w:val="TableRow"/>
              <w:rPr>
                <w:i/>
                <w:sz w:val="22"/>
              </w:rPr>
            </w:pPr>
            <w:r>
              <w:t xml:space="preserve">1-1 tutoring for pupils in need of specific gap filling </w:t>
            </w:r>
          </w:p>
        </w:tc>
        <w:tc>
          <w:tcPr>
            <w:tcW w:w="42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7D552E" w14:textId="6A9751E8" w:rsidR="00E66558" w:rsidRDefault="008E5CFA" w:rsidP="008E5CFA">
            <w:pPr>
              <w:pStyle w:val="TableRowCentered"/>
              <w:jc w:val="left"/>
              <w:rPr>
                <w:sz w:val="22"/>
              </w:rPr>
            </w:pPr>
            <w:r>
              <w:t xml:space="preserve">Progress made by pupils receiving tutoring has shown to close attainment gaps and fill knowledge gaps where needed. This is seen in book scrutiny, pupil conferencing and internal data. 2, 3 </w:t>
            </w:r>
          </w:p>
        </w:tc>
        <w:tc>
          <w:tcPr>
            <w:tcW w:w="25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7D552F" w14:textId="3C969AD0" w:rsidR="00E66558" w:rsidRPr="00AD2E0A" w:rsidRDefault="00D60287">
            <w:pPr>
              <w:pStyle w:val="TableRowCentered"/>
              <w:jc w:val="left"/>
              <w:rPr>
                <w:szCs w:val="24"/>
              </w:rPr>
            </w:pPr>
            <w:r w:rsidRPr="00AD2E0A">
              <w:rPr>
                <w:szCs w:val="24"/>
              </w:rPr>
              <w:t>2,3,5,6</w:t>
            </w:r>
          </w:p>
        </w:tc>
      </w:tr>
      <w:tr w:rsidR="008E5CFA" w14:paraId="18225E9F" w14:textId="77777777">
        <w:tc>
          <w:tcPr>
            <w:tcW w:w="26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E066BA" w14:textId="55EBD140" w:rsidR="008E5CFA" w:rsidRDefault="008E5CFA" w:rsidP="008E5CFA">
            <w:pPr>
              <w:pStyle w:val="TableRow"/>
            </w:pPr>
            <w:r>
              <w:lastRenderedPageBreak/>
              <w:t xml:space="preserve">Small group school led tutoring across KS 2 and KS 1 to support gap filling and catch-up programme. </w:t>
            </w:r>
          </w:p>
        </w:tc>
        <w:tc>
          <w:tcPr>
            <w:tcW w:w="42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D1D439" w14:textId="175089B1" w:rsidR="008E5CFA" w:rsidRDefault="008E5CFA">
            <w:pPr>
              <w:pStyle w:val="TableRowCentered"/>
              <w:jc w:val="left"/>
            </w:pPr>
            <w:r>
              <w:t>Progress made by pupils receiving tutoring has shown to close attainment gaps and fill knowledge gaps where needed. This is seen in book scrutiny. pupil conferencing and internal data.</w:t>
            </w:r>
          </w:p>
        </w:tc>
        <w:tc>
          <w:tcPr>
            <w:tcW w:w="25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CC762B4" w14:textId="1A38BBD6" w:rsidR="008E5CFA" w:rsidRPr="00AD2E0A" w:rsidRDefault="00D60287">
            <w:pPr>
              <w:pStyle w:val="TableRowCentered"/>
              <w:jc w:val="left"/>
              <w:rPr>
                <w:szCs w:val="24"/>
              </w:rPr>
            </w:pPr>
            <w:r w:rsidRPr="00AD2E0A">
              <w:rPr>
                <w:szCs w:val="24"/>
              </w:rPr>
              <w:t>2,3,5,6</w:t>
            </w:r>
          </w:p>
        </w:tc>
      </w:tr>
    </w:tbl>
    <w:p w14:paraId="2A7D5531" w14:textId="77777777" w:rsidR="00E66558" w:rsidRDefault="00E66558" w:rsidP="00AA355B"/>
    <w:p w14:paraId="2A7D5532" w14:textId="59A68BC3" w:rsidR="00E66558" w:rsidRPr="00AA355B" w:rsidRDefault="009D71E8" w:rsidP="00AA355B">
      <w:pPr>
        <w:pStyle w:val="Heading3"/>
      </w:pPr>
      <w:r>
        <w:t>Wider strategies (for example, related to attendance, behaviour, wellbeing)</w:t>
      </w:r>
    </w:p>
    <w:p w14:paraId="724F53C5" w14:textId="0833AA21" w:rsidR="00B163C0" w:rsidRPr="00090FB7" w:rsidRDefault="009D71E8">
      <w:pPr>
        <w:spacing w:before="240" w:after="120"/>
        <w:rPr>
          <w:i/>
          <w:iCs/>
        </w:rPr>
      </w:pPr>
      <w:r>
        <w:t xml:space="preserve">Budgeted cost: £ </w:t>
      </w:r>
      <w:r w:rsidR="00090FB7">
        <w:rPr>
          <w:i/>
          <w:iCs/>
        </w:rPr>
        <w:t>15,550</w:t>
      </w:r>
    </w:p>
    <w:tbl>
      <w:tblPr>
        <w:tblW w:w="5000" w:type="pct"/>
        <w:tblCellMar>
          <w:left w:w="10" w:type="dxa"/>
          <w:right w:w="10" w:type="dxa"/>
        </w:tblCellMar>
        <w:tblLook w:val="04A0" w:firstRow="1" w:lastRow="0" w:firstColumn="1" w:lastColumn="0" w:noHBand="0" w:noVBand="1"/>
      </w:tblPr>
      <w:tblGrid>
        <w:gridCol w:w="2688"/>
        <w:gridCol w:w="4254"/>
        <w:gridCol w:w="2544"/>
      </w:tblGrid>
      <w:tr w:rsidR="00E66558" w14:paraId="2A7D5537" w14:textId="77777777">
        <w:tc>
          <w:tcPr>
            <w:tcW w:w="2688" w:type="dxa"/>
            <w:tcBorders>
              <w:top w:val="single" w:sz="4" w:space="0" w:color="000000"/>
              <w:left w:val="single" w:sz="4" w:space="0" w:color="000000"/>
              <w:bottom w:val="single" w:sz="4" w:space="0" w:color="000000"/>
              <w:right w:val="single" w:sz="4" w:space="0" w:color="000000"/>
            </w:tcBorders>
            <w:shd w:val="clear" w:color="auto" w:fill="D8E2E9"/>
            <w:tcMar>
              <w:top w:w="0" w:type="dxa"/>
              <w:left w:w="108" w:type="dxa"/>
              <w:bottom w:w="0" w:type="dxa"/>
              <w:right w:w="108" w:type="dxa"/>
            </w:tcMar>
          </w:tcPr>
          <w:p w14:paraId="2A7D5534" w14:textId="77777777" w:rsidR="00E66558" w:rsidRDefault="009D71E8">
            <w:pPr>
              <w:pStyle w:val="TableHeader"/>
              <w:jc w:val="left"/>
            </w:pPr>
            <w:r>
              <w:t>Activity</w:t>
            </w:r>
          </w:p>
        </w:tc>
        <w:tc>
          <w:tcPr>
            <w:tcW w:w="4254" w:type="dxa"/>
            <w:tcBorders>
              <w:top w:val="single" w:sz="4" w:space="0" w:color="000000"/>
              <w:left w:val="single" w:sz="4" w:space="0" w:color="000000"/>
              <w:bottom w:val="single" w:sz="4" w:space="0" w:color="000000"/>
              <w:right w:val="single" w:sz="4" w:space="0" w:color="000000"/>
            </w:tcBorders>
            <w:shd w:val="clear" w:color="auto" w:fill="D8E2E9"/>
            <w:tcMar>
              <w:top w:w="0" w:type="dxa"/>
              <w:left w:w="108" w:type="dxa"/>
              <w:bottom w:w="0" w:type="dxa"/>
              <w:right w:w="108" w:type="dxa"/>
            </w:tcMar>
          </w:tcPr>
          <w:p w14:paraId="2A7D5535" w14:textId="77777777" w:rsidR="00E66558" w:rsidRDefault="009D71E8">
            <w:pPr>
              <w:pStyle w:val="TableHeader"/>
              <w:jc w:val="left"/>
            </w:pPr>
            <w:r>
              <w:t>Evidence that supports this approach</w:t>
            </w:r>
          </w:p>
        </w:tc>
        <w:tc>
          <w:tcPr>
            <w:tcW w:w="2544" w:type="dxa"/>
            <w:tcBorders>
              <w:top w:val="single" w:sz="4" w:space="0" w:color="000000"/>
              <w:left w:val="single" w:sz="4" w:space="0" w:color="000000"/>
              <w:bottom w:val="single" w:sz="4" w:space="0" w:color="000000"/>
              <w:right w:val="single" w:sz="4" w:space="0" w:color="000000"/>
            </w:tcBorders>
            <w:shd w:val="clear" w:color="auto" w:fill="D8E2E9"/>
            <w:tcMar>
              <w:top w:w="0" w:type="dxa"/>
              <w:left w:w="108" w:type="dxa"/>
              <w:bottom w:w="0" w:type="dxa"/>
              <w:right w:w="108" w:type="dxa"/>
            </w:tcMar>
          </w:tcPr>
          <w:p w14:paraId="2A7D5536" w14:textId="77777777" w:rsidR="00E66558" w:rsidRDefault="009D71E8">
            <w:pPr>
              <w:pStyle w:val="TableHeader"/>
              <w:jc w:val="left"/>
            </w:pPr>
            <w:r>
              <w:t>Challenge number(s) addressed</w:t>
            </w:r>
          </w:p>
        </w:tc>
      </w:tr>
      <w:tr w:rsidR="00E66558" w14:paraId="2A7D553B" w14:textId="77777777">
        <w:tc>
          <w:tcPr>
            <w:tcW w:w="26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7D5538" w14:textId="31C4D2BF" w:rsidR="00E66558" w:rsidRDefault="00360496" w:rsidP="00360496">
            <w:pPr>
              <w:pStyle w:val="TableRow"/>
            </w:pPr>
            <w:r>
              <w:t xml:space="preserve">Jigsaw </w:t>
            </w:r>
          </w:p>
        </w:tc>
        <w:tc>
          <w:tcPr>
            <w:tcW w:w="42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7D5539" w14:textId="2F3CA355" w:rsidR="00E66558" w:rsidRDefault="00360496" w:rsidP="00360496">
            <w:pPr>
              <w:pStyle w:val="TableRowCentered"/>
              <w:jc w:val="left"/>
              <w:rPr>
                <w:sz w:val="22"/>
              </w:rPr>
            </w:pPr>
            <w:r>
              <w:t xml:space="preserve">The Jigsaw PSHE curriculum supports children’s understanding of others and their own needs and rights and contributes towards a positive school environment and this in turn improves pupil progress and attendance </w:t>
            </w:r>
          </w:p>
        </w:tc>
        <w:tc>
          <w:tcPr>
            <w:tcW w:w="25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7D553A" w14:textId="0F2EDD00" w:rsidR="00E66558" w:rsidRPr="00AD2E0A" w:rsidRDefault="00090FB7">
            <w:pPr>
              <w:pStyle w:val="TableRowCentered"/>
              <w:jc w:val="left"/>
              <w:rPr>
                <w:szCs w:val="24"/>
              </w:rPr>
            </w:pPr>
            <w:r w:rsidRPr="00AD2E0A">
              <w:rPr>
                <w:szCs w:val="24"/>
              </w:rPr>
              <w:t>1,4,5,6</w:t>
            </w:r>
          </w:p>
        </w:tc>
      </w:tr>
      <w:tr w:rsidR="00090FB7" w14:paraId="329A2089" w14:textId="77777777">
        <w:tc>
          <w:tcPr>
            <w:tcW w:w="26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3B2778" w14:textId="615B00DB" w:rsidR="00090FB7" w:rsidRDefault="00090FB7" w:rsidP="00AD2E0A">
            <w:pPr>
              <w:pStyle w:val="TableRow"/>
            </w:pPr>
            <w:r>
              <w:t xml:space="preserve">EWO support </w:t>
            </w:r>
          </w:p>
        </w:tc>
        <w:tc>
          <w:tcPr>
            <w:tcW w:w="42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665DA71" w14:textId="555B554F" w:rsidR="00090FB7" w:rsidRDefault="00090FB7" w:rsidP="00AD2E0A">
            <w:pPr>
              <w:pStyle w:val="TableRowCentered"/>
              <w:jc w:val="left"/>
            </w:pPr>
            <w:r>
              <w:t>Attendance data shows that all groups of pupils within school have attendance in</w:t>
            </w:r>
            <w:r w:rsidR="000320F3">
              <w:t xml:space="preserve"> </w:t>
            </w:r>
            <w:r>
              <w:t xml:space="preserve">line with or above national averages. Levels of persistent absence are significantly below national average levels. </w:t>
            </w:r>
          </w:p>
        </w:tc>
        <w:tc>
          <w:tcPr>
            <w:tcW w:w="25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7A1591" w14:textId="4FDA5293" w:rsidR="00090FB7" w:rsidRDefault="00AD2E0A">
            <w:pPr>
              <w:pStyle w:val="TableRowCentered"/>
              <w:jc w:val="left"/>
              <w:rPr>
                <w:sz w:val="22"/>
              </w:rPr>
            </w:pPr>
            <w:r>
              <w:t>4, 6</w:t>
            </w:r>
          </w:p>
        </w:tc>
      </w:tr>
      <w:tr w:rsidR="00090FB7" w14:paraId="78B39ECC" w14:textId="77777777">
        <w:tc>
          <w:tcPr>
            <w:tcW w:w="26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1C9F9C" w14:textId="2CECFA95" w:rsidR="00090FB7" w:rsidRDefault="00AD2E0A" w:rsidP="00AD2E0A">
            <w:pPr>
              <w:pStyle w:val="TableRow"/>
            </w:pPr>
            <w:r>
              <w:t xml:space="preserve">Early Help </w:t>
            </w:r>
          </w:p>
        </w:tc>
        <w:tc>
          <w:tcPr>
            <w:tcW w:w="42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240E98" w14:textId="54442D76" w:rsidR="00090FB7" w:rsidRDefault="00AD2E0A" w:rsidP="00AD2E0A">
            <w:pPr>
              <w:pStyle w:val="TableRowCentered"/>
              <w:jc w:val="left"/>
            </w:pPr>
            <w:r>
              <w:t xml:space="preserve">Measurable targets set within the TAF are being met and targeted support provided to support wellbeing and attendance. </w:t>
            </w:r>
          </w:p>
        </w:tc>
        <w:tc>
          <w:tcPr>
            <w:tcW w:w="25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450BEC7" w14:textId="7BC4DBD4" w:rsidR="00090FB7" w:rsidRDefault="00AD2E0A">
            <w:pPr>
              <w:pStyle w:val="TableRowCentered"/>
              <w:jc w:val="left"/>
              <w:rPr>
                <w:sz w:val="22"/>
              </w:rPr>
            </w:pPr>
            <w:r>
              <w:t>1, 4, 6</w:t>
            </w:r>
          </w:p>
        </w:tc>
      </w:tr>
      <w:tr w:rsidR="00E66558" w14:paraId="2A7D553F" w14:textId="77777777">
        <w:tc>
          <w:tcPr>
            <w:tcW w:w="26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8103BA" w14:textId="77777777" w:rsidR="00E66558" w:rsidRDefault="00D60287">
            <w:pPr>
              <w:pStyle w:val="TableRow"/>
            </w:pPr>
            <w:r>
              <w:t>Broad curriculum</w:t>
            </w:r>
          </w:p>
          <w:p w14:paraId="2A7D553C" w14:textId="0ED22A56" w:rsidR="00D60287" w:rsidRDefault="00D60287">
            <w:pPr>
              <w:pStyle w:val="TableRow"/>
              <w:rPr>
                <w:i/>
                <w:sz w:val="22"/>
              </w:rPr>
            </w:pPr>
            <w:r>
              <w:t>Music, art  and outdoor learning project</w:t>
            </w:r>
          </w:p>
        </w:tc>
        <w:tc>
          <w:tcPr>
            <w:tcW w:w="42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7D553D" w14:textId="0DCCBB38" w:rsidR="00E66558" w:rsidRDefault="00D60287">
            <w:pPr>
              <w:pStyle w:val="TableRowCentered"/>
              <w:jc w:val="left"/>
              <w:rPr>
                <w:sz w:val="22"/>
              </w:rPr>
            </w:pPr>
            <w:r>
              <w:t>Pupil conferencing shows the children found the projects supported their own happiness and enjoyment as well as developing music skills. Clear targets set within the project have been measured and assessed.</w:t>
            </w:r>
          </w:p>
        </w:tc>
        <w:tc>
          <w:tcPr>
            <w:tcW w:w="25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7D553E" w14:textId="64781AED" w:rsidR="00E66558" w:rsidRPr="00AD2E0A" w:rsidRDefault="00090FB7" w:rsidP="00AD2E0A">
            <w:pPr>
              <w:pStyle w:val="TableRowCentered"/>
              <w:jc w:val="left"/>
              <w:rPr>
                <w:szCs w:val="24"/>
              </w:rPr>
            </w:pPr>
            <w:r w:rsidRPr="00AD2E0A">
              <w:rPr>
                <w:szCs w:val="24"/>
              </w:rPr>
              <w:t>1,2,3</w:t>
            </w:r>
          </w:p>
        </w:tc>
      </w:tr>
      <w:tr w:rsidR="00627C16" w14:paraId="25582150" w14:textId="77777777">
        <w:tc>
          <w:tcPr>
            <w:tcW w:w="26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24DDBB" w14:textId="358132C8" w:rsidR="00627C16" w:rsidRDefault="00C573B7">
            <w:pPr>
              <w:pStyle w:val="TableRow"/>
            </w:pPr>
            <w:r>
              <w:t>Wellbeing and Nurture T</w:t>
            </w:r>
            <w:r w:rsidR="00627C16">
              <w:t>eam</w:t>
            </w:r>
          </w:p>
        </w:tc>
        <w:tc>
          <w:tcPr>
            <w:tcW w:w="42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5B14EA" w14:textId="173627CF" w:rsidR="00627C16" w:rsidRDefault="00C573B7">
            <w:pPr>
              <w:pStyle w:val="TableRowCentered"/>
              <w:jc w:val="left"/>
            </w:pPr>
            <w:r>
              <w:t xml:space="preserve">As a result of the rising number of children presenting with social, emotional and mental health challenges, the school have implemented a range of strategies to support this such as employing a highly qualified member of staff who, in the afternoons provides nurture groups for children based on their </w:t>
            </w:r>
            <w:r>
              <w:lastRenderedPageBreak/>
              <w:t xml:space="preserve">individual needs. This includes Lego Therapy, Therapeutic Play, Language Groups and Sensory Activities. This is closely monitored by the SENCO who also runs a lunchtime nurture group. </w:t>
            </w:r>
          </w:p>
        </w:tc>
        <w:tc>
          <w:tcPr>
            <w:tcW w:w="25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3E47E0" w14:textId="5E676F21" w:rsidR="00627C16" w:rsidRPr="00AD2E0A" w:rsidRDefault="00C573B7" w:rsidP="00AD2E0A">
            <w:pPr>
              <w:pStyle w:val="TableRowCentered"/>
              <w:jc w:val="left"/>
              <w:rPr>
                <w:szCs w:val="24"/>
              </w:rPr>
            </w:pPr>
            <w:r>
              <w:rPr>
                <w:szCs w:val="24"/>
              </w:rPr>
              <w:lastRenderedPageBreak/>
              <w:t>1, 3, 5</w:t>
            </w:r>
          </w:p>
        </w:tc>
      </w:tr>
    </w:tbl>
    <w:p w14:paraId="2A7D5540" w14:textId="77777777" w:rsidR="00E66558" w:rsidRDefault="00E66558">
      <w:pPr>
        <w:spacing w:before="240" w:after="0"/>
        <w:rPr>
          <w:b/>
          <w:bCs/>
          <w:color w:val="104F75"/>
          <w:sz w:val="28"/>
          <w:szCs w:val="28"/>
        </w:rPr>
      </w:pPr>
    </w:p>
    <w:p w14:paraId="2A7D5541" w14:textId="0EF16A93" w:rsidR="00E66558" w:rsidRDefault="009D71E8" w:rsidP="00120AB1">
      <w:r>
        <w:rPr>
          <w:b/>
          <w:bCs/>
          <w:color w:val="104F75"/>
          <w:sz w:val="28"/>
          <w:szCs w:val="28"/>
        </w:rPr>
        <w:t xml:space="preserve">Total budgeted cost: £ </w:t>
      </w:r>
      <w:r w:rsidR="00C573B7">
        <w:rPr>
          <w:i/>
          <w:iCs/>
          <w:color w:val="104F75"/>
          <w:sz w:val="28"/>
          <w:szCs w:val="28"/>
        </w:rPr>
        <w:t>70,550</w:t>
      </w:r>
    </w:p>
    <w:p w14:paraId="2A7D5542" w14:textId="18352EC3" w:rsidR="00E66558" w:rsidRPr="00064366" w:rsidRDefault="009D71E8" w:rsidP="00064366">
      <w:pPr>
        <w:pStyle w:val="Heading1"/>
      </w:pPr>
      <w:r w:rsidRPr="00064366">
        <w:lastRenderedPageBreak/>
        <w:t>Part B: Review of the previous academic year</w:t>
      </w:r>
    </w:p>
    <w:p w14:paraId="751285B7" w14:textId="72ACB452" w:rsidR="008B6404" w:rsidRDefault="00064366" w:rsidP="00173D4C">
      <w:pPr>
        <w:pStyle w:val="Heading2"/>
      </w:pPr>
      <w:r w:rsidRPr="00173D4C">
        <w:t>Outcomes for disadvantaged pupils</w:t>
      </w:r>
    </w:p>
    <w:tbl>
      <w:tblPr>
        <w:tblW w:w="9493" w:type="dxa"/>
        <w:tblCellMar>
          <w:left w:w="10" w:type="dxa"/>
          <w:right w:w="10" w:type="dxa"/>
        </w:tblCellMar>
        <w:tblLook w:val="04A0" w:firstRow="1" w:lastRow="0" w:firstColumn="1" w:lastColumn="0" w:noHBand="0" w:noVBand="1"/>
      </w:tblPr>
      <w:tblGrid>
        <w:gridCol w:w="9493"/>
      </w:tblGrid>
      <w:tr w:rsidR="00173D4C" w14:paraId="7FB51099" w14:textId="77777777" w:rsidTr="00B57F89">
        <w:trPr>
          <w:trHeight w:val="1102"/>
        </w:trPr>
        <w:tc>
          <w:tcPr>
            <w:tcW w:w="94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AB18605" w14:textId="7B0D0938" w:rsidR="00A81D73" w:rsidRDefault="00090FB7" w:rsidP="00A81D73">
            <w:r>
              <w:t>Triangulation of monitoring through lesson observations, work scrutiny, pupil conferencing and using internal and diagnostic data show</w:t>
            </w:r>
            <w:r w:rsidR="00D62361">
              <w:t>s that actions taken during</w:t>
            </w:r>
            <w:r w:rsidR="00A81D73">
              <w:t xml:space="preserve"> 2021</w:t>
            </w:r>
            <w:r w:rsidR="00D62361">
              <w:t>-22</w:t>
            </w:r>
            <w:r>
              <w:t xml:space="preserve"> lead to gaps closing for disadvantaged pupils. </w:t>
            </w:r>
            <w:r w:rsidR="00A81D73">
              <w:t>The Pupil Premium Lead has</w:t>
            </w:r>
            <w:r w:rsidR="00A81D73">
              <w:t xml:space="preserve"> tracked the progress of the current Year 6 children from Year 3 and then checked this against their target data and it shows t</w:t>
            </w:r>
            <w:r w:rsidR="00A81D73">
              <w:t>hat every identified PP child</w:t>
            </w:r>
            <w:r w:rsidR="00A81D73">
              <w:t xml:space="preserve"> from that year will make ARE in reading, writing and </w:t>
            </w:r>
            <w:r w:rsidR="00A81D73">
              <w:t>most will achieve this in</w:t>
            </w:r>
            <w:r w:rsidR="00A81D73">
              <w:t xml:space="preserve"> maths. </w:t>
            </w:r>
          </w:p>
          <w:p w14:paraId="776F3B10" w14:textId="77777777" w:rsidR="00A81D73" w:rsidRDefault="00A81D73" w:rsidP="00A81D73">
            <w:r>
              <w:t xml:space="preserve">This is a very positive picture of how well supported our PP children are as they journey through our school. It demonstrates that no PP child has fallen behind and has either maintained their current level or they have made accelerated progress and moved from below to working towards or working towards to expected. </w:t>
            </w:r>
          </w:p>
          <w:p w14:paraId="5023926C" w14:textId="67456410" w:rsidR="00D62361" w:rsidRDefault="00A81D73" w:rsidP="00A81D73">
            <w:r>
              <w:t xml:space="preserve">A review of the strategy indicates that all the measures that have been put into place are having a positive impact on the children in our school. From their starting points in Reception, the majority make great progress. </w:t>
            </w:r>
            <w:bookmarkStart w:id="17" w:name="_GoBack"/>
            <w:bookmarkEnd w:id="17"/>
          </w:p>
        </w:tc>
      </w:tr>
    </w:tbl>
    <w:p w14:paraId="2A7D5548" w14:textId="0199D85C" w:rsidR="00E66558" w:rsidRDefault="006D6372" w:rsidP="00A82A98">
      <w:pPr>
        <w:pStyle w:val="Heading2"/>
      </w:pPr>
      <w:r>
        <w:t>E</w:t>
      </w:r>
      <w:r w:rsidR="009D71E8">
        <w:t>xternally provided programmes</w:t>
      </w:r>
    </w:p>
    <w:p w14:paraId="2A7D5549" w14:textId="1DAEF3DE" w:rsidR="00E66558" w:rsidRDefault="0B240EAF" w:rsidP="07FFD3D3">
      <w:pPr>
        <w:rPr>
          <w:i/>
          <w:iCs/>
        </w:rPr>
      </w:pPr>
      <w:r w:rsidRPr="07FFD3D3">
        <w:rPr>
          <w:i/>
          <w:iCs/>
        </w:rPr>
        <w:t>Please include the names of any non-</w:t>
      </w:r>
      <w:proofErr w:type="spellStart"/>
      <w:r w:rsidRPr="07FFD3D3">
        <w:rPr>
          <w:i/>
          <w:iCs/>
        </w:rPr>
        <w:t>DfE</w:t>
      </w:r>
      <w:proofErr w:type="spellEnd"/>
      <w:r w:rsidRPr="07FFD3D3">
        <w:rPr>
          <w:i/>
          <w:iCs/>
        </w:rPr>
        <w:t xml:space="preserve"> programmes that you </w:t>
      </w:r>
      <w:r w:rsidR="491E3A64" w:rsidRPr="07FFD3D3">
        <w:rPr>
          <w:i/>
          <w:iCs/>
        </w:rPr>
        <w:t xml:space="preserve">used your pupil premium (or recovery premium) to fund </w:t>
      </w:r>
      <w:r w:rsidRPr="07FFD3D3">
        <w:rPr>
          <w:i/>
          <w:iCs/>
        </w:rPr>
        <w:t xml:space="preserve">in the previous academic year. </w:t>
      </w:r>
    </w:p>
    <w:tbl>
      <w:tblPr>
        <w:tblW w:w="5000" w:type="pct"/>
        <w:tblCellMar>
          <w:left w:w="10" w:type="dxa"/>
          <w:right w:w="10" w:type="dxa"/>
        </w:tblCellMar>
        <w:tblLook w:val="04A0" w:firstRow="1" w:lastRow="0" w:firstColumn="1" w:lastColumn="0" w:noHBand="0" w:noVBand="1"/>
      </w:tblPr>
      <w:tblGrid>
        <w:gridCol w:w="4815"/>
        <w:gridCol w:w="4671"/>
      </w:tblGrid>
      <w:tr w:rsidR="00E66558" w14:paraId="2A7D554C" w14:textId="77777777">
        <w:tc>
          <w:tcPr>
            <w:tcW w:w="4815" w:type="dxa"/>
            <w:tcBorders>
              <w:top w:val="single" w:sz="4" w:space="0" w:color="000000"/>
              <w:left w:val="single" w:sz="4" w:space="0" w:color="000000"/>
              <w:bottom w:val="single" w:sz="4" w:space="0" w:color="000000"/>
              <w:right w:val="single" w:sz="4" w:space="0" w:color="000000"/>
            </w:tcBorders>
            <w:shd w:val="clear" w:color="auto" w:fill="D8E2E9"/>
            <w:tcMar>
              <w:top w:w="0" w:type="dxa"/>
              <w:left w:w="108" w:type="dxa"/>
              <w:bottom w:w="0" w:type="dxa"/>
              <w:right w:w="108" w:type="dxa"/>
            </w:tcMar>
          </w:tcPr>
          <w:p w14:paraId="2A7D554A" w14:textId="77777777" w:rsidR="00E66558" w:rsidRDefault="009D71E8">
            <w:pPr>
              <w:pStyle w:val="TableHeader"/>
              <w:jc w:val="left"/>
            </w:pPr>
            <w:r>
              <w:t>Programme</w:t>
            </w:r>
          </w:p>
        </w:tc>
        <w:tc>
          <w:tcPr>
            <w:tcW w:w="4671" w:type="dxa"/>
            <w:tcBorders>
              <w:top w:val="single" w:sz="4" w:space="0" w:color="000000"/>
              <w:left w:val="single" w:sz="4" w:space="0" w:color="000000"/>
              <w:bottom w:val="single" w:sz="4" w:space="0" w:color="000000"/>
              <w:right w:val="single" w:sz="4" w:space="0" w:color="000000"/>
            </w:tcBorders>
            <w:shd w:val="clear" w:color="auto" w:fill="D8E2E9"/>
            <w:tcMar>
              <w:top w:w="0" w:type="dxa"/>
              <w:left w:w="108" w:type="dxa"/>
              <w:bottom w:w="0" w:type="dxa"/>
              <w:right w:w="108" w:type="dxa"/>
            </w:tcMar>
          </w:tcPr>
          <w:p w14:paraId="2A7D554B" w14:textId="77777777" w:rsidR="00E66558" w:rsidRDefault="009D71E8">
            <w:pPr>
              <w:pStyle w:val="TableHeader"/>
              <w:jc w:val="left"/>
            </w:pPr>
            <w:r>
              <w:t>Provider</w:t>
            </w:r>
          </w:p>
        </w:tc>
      </w:tr>
      <w:tr w:rsidR="00E66558" w14:paraId="2A7D554F" w14:textId="77777777">
        <w:tc>
          <w:tcPr>
            <w:tcW w:w="481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7D554D" w14:textId="74B0CEEC" w:rsidR="00E66558" w:rsidRPr="00AD2E0A" w:rsidRDefault="00AD2E0A">
            <w:pPr>
              <w:pStyle w:val="TableRow"/>
              <w:rPr>
                <w:highlight w:val="yellow"/>
              </w:rPr>
            </w:pPr>
            <w:proofErr w:type="spellStart"/>
            <w:r w:rsidRPr="00AD2E0A">
              <w:rPr>
                <w:highlight w:val="yellow"/>
              </w:rPr>
              <w:t>xxxxxx</w:t>
            </w:r>
            <w:proofErr w:type="spellEnd"/>
          </w:p>
        </w:tc>
        <w:tc>
          <w:tcPr>
            <w:tcW w:w="46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7D554E" w14:textId="77777777" w:rsidR="00E66558" w:rsidRDefault="00E66558">
            <w:pPr>
              <w:pStyle w:val="TableRowCentered"/>
              <w:jc w:val="left"/>
            </w:pPr>
          </w:p>
        </w:tc>
      </w:tr>
      <w:tr w:rsidR="00E66558" w14:paraId="2A7D5552" w14:textId="77777777">
        <w:tc>
          <w:tcPr>
            <w:tcW w:w="481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7D5550" w14:textId="69EE4930" w:rsidR="00E66558" w:rsidRPr="00AD2E0A" w:rsidRDefault="00AD2E0A">
            <w:pPr>
              <w:pStyle w:val="TableRow"/>
              <w:rPr>
                <w:highlight w:val="yellow"/>
              </w:rPr>
            </w:pPr>
            <w:proofErr w:type="spellStart"/>
            <w:r w:rsidRPr="00AD2E0A">
              <w:rPr>
                <w:highlight w:val="yellow"/>
              </w:rPr>
              <w:t>xxxxx</w:t>
            </w:r>
            <w:proofErr w:type="spellEnd"/>
          </w:p>
        </w:tc>
        <w:tc>
          <w:tcPr>
            <w:tcW w:w="46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7D5551" w14:textId="77777777" w:rsidR="00E66558" w:rsidRDefault="00E66558">
            <w:pPr>
              <w:pStyle w:val="TableRowCentered"/>
              <w:jc w:val="left"/>
            </w:pPr>
          </w:p>
        </w:tc>
      </w:tr>
    </w:tbl>
    <w:p w14:paraId="2A7D5553" w14:textId="193B71B2" w:rsidR="00E66558" w:rsidRDefault="00E66558" w:rsidP="0008384B"/>
    <w:p w14:paraId="188578FB" w14:textId="537EFB51" w:rsidR="0008384B" w:rsidRDefault="0008384B" w:rsidP="0008384B"/>
    <w:p w14:paraId="497C2CDD" w14:textId="3BD1FD57" w:rsidR="0008384B" w:rsidRDefault="0008384B" w:rsidP="0008384B"/>
    <w:p w14:paraId="01F0D165" w14:textId="1FC4C866" w:rsidR="0008384B" w:rsidRDefault="0008384B" w:rsidP="0008384B"/>
    <w:bookmarkEnd w:id="14"/>
    <w:bookmarkEnd w:id="15"/>
    <w:bookmarkEnd w:id="16"/>
    <w:p w14:paraId="5B48A893" w14:textId="77777777" w:rsidR="0008384B" w:rsidRDefault="0008384B" w:rsidP="0008384B"/>
    <w:sectPr w:rsidR="0008384B">
      <w:headerReference w:type="default" r:id="rId8"/>
      <w:footerReference w:type="default" r:id="rId9"/>
      <w:pgSz w:w="11906" w:h="16838"/>
      <w:pgMar w:top="1134" w:right="1276" w:bottom="1134" w:left="1134" w:header="709" w:footer="709"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1A36F81" w14:textId="77777777" w:rsidR="00243ED7" w:rsidRDefault="00243ED7">
      <w:pPr>
        <w:spacing w:after="0" w:line="240" w:lineRule="auto"/>
      </w:pPr>
      <w:r>
        <w:separator/>
      </w:r>
    </w:p>
  </w:endnote>
  <w:endnote w:type="continuationSeparator" w:id="0">
    <w:p w14:paraId="72DD0683" w14:textId="77777777" w:rsidR="00243ED7" w:rsidRDefault="00243ED7">
      <w:pPr>
        <w:spacing w:after="0" w:line="240" w:lineRule="auto"/>
      </w:pPr>
      <w:r>
        <w:continuationSeparator/>
      </w:r>
    </w:p>
  </w:endnote>
  <w:endnote w:type="continuationNotice" w:id="1">
    <w:p w14:paraId="208542E1" w14:textId="77777777" w:rsidR="00243ED7" w:rsidRDefault="00243ED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Marlett">
    <w:panose1 w:val="00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7D54BE" w14:textId="610AFFD6" w:rsidR="00C373EA" w:rsidRDefault="009D71E8">
    <w:pPr>
      <w:pStyle w:val="Footer"/>
      <w:ind w:firstLine="4513"/>
    </w:pPr>
    <w:r>
      <w:fldChar w:fldCharType="begin"/>
    </w:r>
    <w:r>
      <w:instrText xml:space="preserve"> PAGE </w:instrText>
    </w:r>
    <w:r>
      <w:fldChar w:fldCharType="separate"/>
    </w:r>
    <w:r w:rsidR="00A81D73">
      <w:rPr>
        <w:noProof/>
      </w:rPr>
      <w:t>9</w:t>
    </w:r>
    <w: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8B7BEA7" w14:textId="77777777" w:rsidR="00243ED7" w:rsidRDefault="00243ED7">
      <w:pPr>
        <w:spacing w:after="0" w:line="240" w:lineRule="auto"/>
      </w:pPr>
      <w:r>
        <w:separator/>
      </w:r>
    </w:p>
  </w:footnote>
  <w:footnote w:type="continuationSeparator" w:id="0">
    <w:p w14:paraId="4CEE4A09" w14:textId="77777777" w:rsidR="00243ED7" w:rsidRDefault="00243ED7">
      <w:pPr>
        <w:spacing w:after="0" w:line="240" w:lineRule="auto"/>
      </w:pPr>
      <w:r>
        <w:continuationSeparator/>
      </w:r>
    </w:p>
  </w:footnote>
  <w:footnote w:type="continuationNotice" w:id="1">
    <w:p w14:paraId="1271DCC6" w14:textId="77777777" w:rsidR="00243ED7" w:rsidRDefault="00243ED7">
      <w:pPr>
        <w:spacing w:after="0" w:line="240" w:lineRule="auto"/>
      </w:pP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7D54BC" w14:textId="77777777" w:rsidR="00C373EA" w:rsidRDefault="00C373EA">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99761E"/>
    <w:multiLevelType w:val="multilevel"/>
    <w:tmpl w:val="6C86EF6A"/>
    <w:styleLink w:val="LFO6"/>
    <w:lvl w:ilvl="0">
      <w:numFmt w:val="bullet"/>
      <w:pStyle w:val="ListBullet"/>
      <w:lvlText w:val=""/>
      <w:lvlJc w:val="left"/>
      <w:pPr>
        <w:ind w:left="720" w:hanging="360"/>
      </w:pPr>
      <w:rPr>
        <w:rFonts w:ascii="Symbol" w:hAnsi="Symbol"/>
      </w:rPr>
    </w:lvl>
    <w:lvl w:ilvl="1">
      <w:numFmt w:val="bullet"/>
      <w:lvlText w:val=""/>
      <w:lvlJc w:val="left"/>
      <w:pPr>
        <w:ind w:left="1440" w:hanging="360"/>
      </w:pPr>
      <w:rPr>
        <w:rFonts w:ascii="Symbol" w:hAnsi="Symbol"/>
        <w:color w:val="auto"/>
        <w:sz w:val="24"/>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 w15:restartNumberingAfterBreak="0">
    <w:nsid w:val="1FCE693E"/>
    <w:multiLevelType w:val="multilevel"/>
    <w:tmpl w:val="55DC33DE"/>
    <w:styleLink w:val="WWOutlineListStyle"/>
    <w:lvl w:ilvl="0">
      <w:start w:val="1"/>
      <w:numFmt w:val="none"/>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 w15:restartNumberingAfterBreak="0">
    <w:nsid w:val="212E2A8F"/>
    <w:multiLevelType w:val="multilevel"/>
    <w:tmpl w:val="D2FCC3E6"/>
    <w:styleLink w:val="LFO34"/>
    <w:lvl w:ilvl="0">
      <w:start w:val="1"/>
      <w:numFmt w:val="decimal"/>
      <w:pStyle w:val="DeptOutNumbered"/>
      <w:lvlText w:val="%1."/>
      <w:lvlJc w:val="left"/>
    </w:lvl>
    <w:lvl w:ilvl="1">
      <w:start w:val="1"/>
      <w:numFmt w:val="lowerLetter"/>
      <w:lvlText w:val="%2."/>
      <w:lvlJc w:val="left"/>
      <w:pPr>
        <w:ind w:left="1440" w:hanging="720"/>
      </w:pPr>
    </w:lvl>
    <w:lvl w:ilvl="2">
      <w:start w:val="1"/>
      <w:numFmt w:val="lowerRoman"/>
      <w:lvlText w:val="%3)"/>
      <w:lvlJc w:val="left"/>
      <w:pPr>
        <w:ind w:left="2160" w:hanging="720"/>
      </w:pPr>
      <w:rPr>
        <w:rFonts w:ascii="Arial" w:hAnsi="Arial"/>
        <w:color w:val="auto"/>
        <w:sz w:val="22"/>
        <w:szCs w:val="22"/>
      </w:rPr>
    </w:lvl>
    <w:lvl w:ilvl="3">
      <w:start w:val="1"/>
      <w:numFmt w:val="lowerLetter"/>
      <w:lvlText w:val="%4)"/>
      <w:lvlJc w:val="left"/>
      <w:pPr>
        <w:ind w:left="2880" w:hanging="720"/>
      </w:pPr>
    </w:lvl>
    <w:lvl w:ilvl="4">
      <w:start w:val="1"/>
      <w:numFmt w:val="decimal"/>
      <w:lvlText w:val="(%5)"/>
      <w:lvlJc w:val="left"/>
      <w:pPr>
        <w:ind w:left="3600" w:hanging="720"/>
      </w:pPr>
    </w:lvl>
    <w:lvl w:ilvl="5">
      <w:start w:val="1"/>
      <w:numFmt w:val="lowerRoman"/>
      <w:lvlText w:val="(%6)"/>
      <w:lvlJc w:val="left"/>
      <w:pPr>
        <w:ind w:left="4320" w:hanging="720"/>
      </w:pPr>
    </w:lvl>
    <w:lvl w:ilvl="6">
      <w:start w:val="1"/>
      <w:numFmt w:val="decimal"/>
      <w:lvlText w:val="%7."/>
      <w:lvlJc w:val="left"/>
      <w:pPr>
        <w:ind w:left="5040" w:hanging="720"/>
      </w:pPr>
    </w:lvl>
    <w:lvl w:ilvl="7">
      <w:start w:val="1"/>
      <w:numFmt w:val="lowerLetter"/>
      <w:lvlText w:val="%8."/>
      <w:lvlJc w:val="left"/>
      <w:pPr>
        <w:ind w:left="5760" w:hanging="720"/>
      </w:pPr>
    </w:lvl>
    <w:lvl w:ilvl="8">
      <w:start w:val="1"/>
      <w:numFmt w:val="lowerRoman"/>
      <w:lvlText w:val="%9."/>
      <w:lvlJc w:val="left"/>
      <w:pPr>
        <w:ind w:left="6480" w:hanging="720"/>
      </w:pPr>
    </w:lvl>
  </w:abstractNum>
  <w:abstractNum w:abstractNumId="3" w15:restartNumberingAfterBreak="0">
    <w:nsid w:val="25265E8B"/>
    <w:multiLevelType w:val="multilevel"/>
    <w:tmpl w:val="B024EA62"/>
    <w:styleLink w:val="WWOutlineListStyle1"/>
    <w:lvl w:ilvl="0">
      <w:start w:val="1"/>
      <w:numFmt w:val="none"/>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4" w15:restartNumberingAfterBreak="0">
    <w:nsid w:val="26D7422D"/>
    <w:multiLevelType w:val="multilevel"/>
    <w:tmpl w:val="D14605B6"/>
    <w:styleLink w:val="LFO3"/>
    <w:lvl w:ilvl="0">
      <w:start w:val="1"/>
      <w:numFmt w:val="decimal"/>
      <w:pStyle w:val="DfESOutNumbered1"/>
      <w:lvlText w:val="%1."/>
      <w:lvlJc w:val="left"/>
    </w:lvl>
    <w:lvl w:ilvl="1">
      <w:start w:val="1"/>
      <w:numFmt w:val="decimal"/>
      <w:lvlText w:val="%1.%2."/>
      <w:lvlJc w:val="left"/>
      <w:pPr>
        <w:ind w:left="1440" w:hanging="720"/>
      </w:pPr>
    </w:lvl>
    <w:lvl w:ilvl="2">
      <w:start w:val="1"/>
      <w:numFmt w:val="decimal"/>
      <w:lvlText w:val="%1.%2.%3"/>
      <w:lvlJc w:val="left"/>
      <w:pPr>
        <w:ind w:left="2160" w:hanging="720"/>
      </w:pPr>
    </w:lvl>
    <w:lvl w:ilvl="3">
      <w:start w:val="1"/>
      <w:numFmt w:val="decimal"/>
      <w:lvlText w:val="%1.%2.%3.%4"/>
      <w:lvlJc w:val="left"/>
      <w:pPr>
        <w:ind w:left="3240" w:hanging="1080"/>
      </w:pPr>
    </w:lvl>
    <w:lvl w:ilvl="4">
      <w:start w:val="1"/>
      <w:numFmt w:val="decimal"/>
      <w:lvlText w:val="%1.%2.%3.%4.%5"/>
      <w:lvlJc w:val="left"/>
      <w:pPr>
        <w:ind w:left="3960" w:hanging="1080"/>
      </w:pPr>
    </w:lvl>
    <w:lvl w:ilvl="5">
      <w:start w:val="1"/>
      <w:numFmt w:val="decimal"/>
      <w:lvlText w:val="%1.%2.%3.%4.%5.%6"/>
      <w:lvlJc w:val="left"/>
      <w:pPr>
        <w:ind w:left="4968" w:hanging="1368"/>
      </w:pPr>
    </w:lvl>
    <w:lvl w:ilvl="6">
      <w:start w:val="1"/>
      <w:numFmt w:val="decimal"/>
      <w:lvlText w:val="%1.%2.%3.%4.%5.%6.%7"/>
      <w:lvlJc w:val="left"/>
      <w:pPr>
        <w:ind w:left="5976" w:hanging="1656"/>
      </w:pPr>
    </w:lvl>
    <w:lvl w:ilvl="7">
      <w:start w:val="1"/>
      <w:numFmt w:val="decimal"/>
      <w:lvlText w:val="%1.%2.%3.%4.%5.%6.%7.%8"/>
      <w:lvlJc w:val="left"/>
      <w:pPr>
        <w:ind w:left="6696" w:hanging="1656"/>
      </w:pPr>
    </w:lvl>
    <w:lvl w:ilvl="8">
      <w:start w:val="1"/>
      <w:numFmt w:val="decimal"/>
      <w:lvlText w:val="%1.%2.%3.%4.%5.%6.%7.%8.%9"/>
      <w:lvlJc w:val="left"/>
      <w:pPr>
        <w:ind w:left="7560" w:hanging="1800"/>
      </w:pPr>
    </w:lvl>
  </w:abstractNum>
  <w:abstractNum w:abstractNumId="5" w15:restartNumberingAfterBreak="0">
    <w:nsid w:val="2CA740EE"/>
    <w:multiLevelType w:val="hybridMultilevel"/>
    <w:tmpl w:val="5E5C54CE"/>
    <w:lvl w:ilvl="0" w:tplc="08090009">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F3F4978"/>
    <w:multiLevelType w:val="multilevel"/>
    <w:tmpl w:val="A296BC9C"/>
    <w:styleLink w:val="LFO4"/>
    <w:lvl w:ilvl="0">
      <w:numFmt w:val="bullet"/>
      <w:pStyle w:val="ListBullet4"/>
      <w:lvlText w:val=""/>
      <w:lvlJc w:val="left"/>
      <w:pPr>
        <w:ind w:left="1209" w:hanging="360"/>
      </w:pPr>
      <w:rPr>
        <w:rFonts w:ascii="Symbol" w:hAnsi="Symbol"/>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7" w15:restartNumberingAfterBreak="0">
    <w:nsid w:val="3FE9198B"/>
    <w:multiLevelType w:val="multilevel"/>
    <w:tmpl w:val="2A508BBA"/>
    <w:styleLink w:val="LFO9"/>
    <w:lvl w:ilvl="0">
      <w:numFmt w:val="bullet"/>
      <w:pStyle w:val="ListBullet2"/>
      <w:lvlText w:val=""/>
      <w:lvlJc w:val="left"/>
      <w:pPr>
        <w:ind w:left="643" w:hanging="360"/>
      </w:pPr>
      <w:rPr>
        <w:rFonts w:ascii="Symbol" w:hAnsi="Symbol"/>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8" w15:restartNumberingAfterBreak="0">
    <w:nsid w:val="4E170A4A"/>
    <w:multiLevelType w:val="hybridMultilevel"/>
    <w:tmpl w:val="E67CC4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5FDF3112"/>
    <w:multiLevelType w:val="multilevel"/>
    <w:tmpl w:val="6ED6AAEA"/>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0" w15:restartNumberingAfterBreak="0">
    <w:nsid w:val="68F37F9D"/>
    <w:multiLevelType w:val="multilevel"/>
    <w:tmpl w:val="DE90E1B2"/>
    <w:styleLink w:val="LFO10"/>
    <w:lvl w:ilvl="0">
      <w:numFmt w:val="bullet"/>
      <w:pStyle w:val="ListBullet3"/>
      <w:lvlText w:val=""/>
      <w:lvlJc w:val="left"/>
      <w:pPr>
        <w:ind w:left="926" w:hanging="360"/>
      </w:pPr>
      <w:rPr>
        <w:rFonts w:ascii="Symbol" w:hAnsi="Symbol"/>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1" w15:restartNumberingAfterBreak="0">
    <w:nsid w:val="6BE87082"/>
    <w:multiLevelType w:val="multilevel"/>
    <w:tmpl w:val="14C2AA72"/>
    <w:styleLink w:val="LFO30"/>
    <w:lvl w:ilvl="0">
      <w:numFmt w:val="bullet"/>
      <w:pStyle w:val="DeptBullets"/>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Marlett" w:hAnsi="Marlett"/>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Marlett" w:hAnsi="Marlett"/>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Marlett" w:hAnsi="Marlett"/>
      </w:rPr>
    </w:lvl>
  </w:abstractNum>
  <w:abstractNum w:abstractNumId="12" w15:restartNumberingAfterBreak="0">
    <w:nsid w:val="719A5F31"/>
    <w:multiLevelType w:val="multilevel"/>
    <w:tmpl w:val="3B86DE2C"/>
    <w:styleLink w:val="LFO28"/>
    <w:lvl w:ilvl="0">
      <w:start w:val="1"/>
      <w:numFmt w:val="decimal"/>
      <w:pStyle w:val="DfESOutNumbered"/>
      <w:lvlText w:val="%1."/>
      <w:lvlJc w:val="left"/>
    </w:lvl>
    <w:lvl w:ilvl="1">
      <w:start w:val="1"/>
      <w:numFmt w:val="lowerLetter"/>
      <w:lvlText w:val="%2."/>
      <w:lvlJc w:val="left"/>
      <w:pPr>
        <w:ind w:left="1440" w:hanging="720"/>
      </w:pPr>
    </w:lvl>
    <w:lvl w:ilvl="2">
      <w:start w:val="1"/>
      <w:numFmt w:val="lowerRoman"/>
      <w:lvlText w:val="%3)"/>
      <w:lvlJc w:val="left"/>
      <w:pPr>
        <w:ind w:left="2160" w:hanging="720"/>
      </w:pPr>
    </w:lvl>
    <w:lvl w:ilvl="3">
      <w:start w:val="1"/>
      <w:numFmt w:val="lowerLetter"/>
      <w:lvlText w:val="%4)"/>
      <w:lvlJc w:val="left"/>
      <w:pPr>
        <w:ind w:left="2880" w:hanging="720"/>
      </w:pPr>
    </w:lvl>
    <w:lvl w:ilvl="4">
      <w:start w:val="1"/>
      <w:numFmt w:val="decimal"/>
      <w:lvlText w:val="(%5)"/>
      <w:lvlJc w:val="left"/>
      <w:pPr>
        <w:ind w:left="3600" w:hanging="720"/>
      </w:pPr>
    </w:lvl>
    <w:lvl w:ilvl="5">
      <w:start w:val="1"/>
      <w:numFmt w:val="lowerRoman"/>
      <w:lvlText w:val="(%6)"/>
      <w:lvlJc w:val="left"/>
      <w:pPr>
        <w:ind w:left="4320" w:hanging="720"/>
      </w:pPr>
    </w:lvl>
    <w:lvl w:ilvl="6">
      <w:start w:val="1"/>
      <w:numFmt w:val="decimal"/>
      <w:lvlText w:val="%7."/>
      <w:lvlJc w:val="left"/>
      <w:pPr>
        <w:ind w:left="5040" w:hanging="720"/>
      </w:pPr>
    </w:lvl>
    <w:lvl w:ilvl="7">
      <w:start w:val="1"/>
      <w:numFmt w:val="lowerLetter"/>
      <w:lvlText w:val="%8."/>
      <w:lvlJc w:val="left"/>
      <w:pPr>
        <w:ind w:left="5760" w:hanging="720"/>
      </w:pPr>
    </w:lvl>
    <w:lvl w:ilvl="8">
      <w:start w:val="1"/>
      <w:numFmt w:val="lowerRoman"/>
      <w:lvlText w:val="%9."/>
      <w:lvlJc w:val="left"/>
      <w:pPr>
        <w:ind w:left="6480" w:hanging="720"/>
      </w:pPr>
    </w:lvl>
  </w:abstractNum>
  <w:abstractNum w:abstractNumId="13" w15:restartNumberingAfterBreak="0">
    <w:nsid w:val="71A22097"/>
    <w:multiLevelType w:val="multilevel"/>
    <w:tmpl w:val="009E2204"/>
    <w:styleLink w:val="LFO36"/>
    <w:lvl w:ilvl="0">
      <w:numFmt w:val="bullet"/>
      <w:pStyle w:val="DfESBullets"/>
      <w:lvlText w:val=""/>
      <w:lvlJc w:val="left"/>
      <w:pPr>
        <w:ind w:left="1080" w:hanging="360"/>
      </w:pPr>
      <w:rPr>
        <w:rFonts w:ascii="Symbol" w:hAnsi="Symbol"/>
      </w:rPr>
    </w:lvl>
    <w:lvl w:ilvl="1">
      <w:numFmt w:val="bullet"/>
      <w:lvlText w:val="o"/>
      <w:lvlJc w:val="left"/>
      <w:pPr>
        <w:ind w:left="1800" w:hanging="360"/>
      </w:pPr>
      <w:rPr>
        <w:rFonts w:ascii="Courier New" w:hAnsi="Courier New" w:cs="Courier New"/>
      </w:rPr>
    </w:lvl>
    <w:lvl w:ilvl="2">
      <w:numFmt w:val="bullet"/>
      <w:lvlText w:val=""/>
      <w:lvlJc w:val="left"/>
      <w:pPr>
        <w:ind w:left="2520" w:hanging="360"/>
      </w:pPr>
      <w:rPr>
        <w:rFonts w:ascii="Wingdings" w:hAnsi="Wingdings"/>
      </w:rPr>
    </w:lvl>
    <w:lvl w:ilvl="3">
      <w:numFmt w:val="bullet"/>
      <w:lvlText w:val=""/>
      <w:lvlJc w:val="left"/>
      <w:pPr>
        <w:ind w:left="3240" w:hanging="360"/>
      </w:pPr>
      <w:rPr>
        <w:rFonts w:ascii="Symbol" w:hAnsi="Symbol"/>
      </w:rPr>
    </w:lvl>
    <w:lvl w:ilvl="4">
      <w:numFmt w:val="bullet"/>
      <w:lvlText w:val="o"/>
      <w:lvlJc w:val="left"/>
      <w:pPr>
        <w:ind w:left="3960" w:hanging="360"/>
      </w:pPr>
      <w:rPr>
        <w:rFonts w:ascii="Courier New" w:hAnsi="Courier New" w:cs="Courier New"/>
      </w:rPr>
    </w:lvl>
    <w:lvl w:ilvl="5">
      <w:numFmt w:val="bullet"/>
      <w:lvlText w:val=""/>
      <w:lvlJc w:val="left"/>
      <w:pPr>
        <w:ind w:left="4680" w:hanging="360"/>
      </w:pPr>
      <w:rPr>
        <w:rFonts w:ascii="Wingdings" w:hAnsi="Wingdings"/>
      </w:rPr>
    </w:lvl>
    <w:lvl w:ilvl="6">
      <w:numFmt w:val="bullet"/>
      <w:lvlText w:val=""/>
      <w:lvlJc w:val="left"/>
      <w:pPr>
        <w:ind w:left="5400" w:hanging="360"/>
      </w:pPr>
      <w:rPr>
        <w:rFonts w:ascii="Symbol" w:hAnsi="Symbol"/>
      </w:rPr>
    </w:lvl>
    <w:lvl w:ilvl="7">
      <w:numFmt w:val="bullet"/>
      <w:lvlText w:val="o"/>
      <w:lvlJc w:val="left"/>
      <w:pPr>
        <w:ind w:left="6120" w:hanging="360"/>
      </w:pPr>
      <w:rPr>
        <w:rFonts w:ascii="Courier New" w:hAnsi="Courier New" w:cs="Courier New"/>
      </w:rPr>
    </w:lvl>
    <w:lvl w:ilvl="8">
      <w:numFmt w:val="bullet"/>
      <w:lvlText w:val=""/>
      <w:lvlJc w:val="left"/>
      <w:pPr>
        <w:ind w:left="6840" w:hanging="360"/>
      </w:pPr>
      <w:rPr>
        <w:rFonts w:ascii="Wingdings" w:hAnsi="Wingdings"/>
      </w:rPr>
    </w:lvl>
  </w:abstractNum>
  <w:abstractNum w:abstractNumId="14" w15:restartNumberingAfterBreak="0">
    <w:nsid w:val="75CE2048"/>
    <w:multiLevelType w:val="multilevel"/>
    <w:tmpl w:val="2E54C3FA"/>
    <w:styleLink w:val="LFO25"/>
    <w:lvl w:ilvl="0">
      <w:numFmt w:val="bullet"/>
      <w:pStyle w:val="ListParagraph"/>
      <w:lvlText w:val=""/>
      <w:lvlJc w:val="left"/>
      <w:pPr>
        <w:ind w:left="720" w:hanging="360"/>
      </w:pPr>
      <w:rPr>
        <w:rFonts w:ascii="Symbol" w:hAnsi="Symbol"/>
      </w:rPr>
    </w:lvl>
    <w:lvl w:ilvl="1">
      <w:numFmt w:val="bullet"/>
      <w:lvlText w:val=""/>
      <w:lvlJc w:val="left"/>
      <w:pPr>
        <w:ind w:left="1440" w:hanging="360"/>
      </w:pPr>
      <w:rPr>
        <w:rFonts w:ascii="Symbol" w:hAnsi="Symbol"/>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num w:numId="1">
    <w:abstractNumId w:val="3"/>
  </w:num>
  <w:num w:numId="2">
    <w:abstractNumId w:val="1"/>
  </w:num>
  <w:num w:numId="3">
    <w:abstractNumId w:val="4"/>
  </w:num>
  <w:num w:numId="4">
    <w:abstractNumId w:val="6"/>
  </w:num>
  <w:num w:numId="5">
    <w:abstractNumId w:val="0"/>
  </w:num>
  <w:num w:numId="6">
    <w:abstractNumId w:val="7"/>
  </w:num>
  <w:num w:numId="7">
    <w:abstractNumId w:val="10"/>
  </w:num>
  <w:num w:numId="8">
    <w:abstractNumId w:val="14"/>
  </w:num>
  <w:num w:numId="9">
    <w:abstractNumId w:val="12"/>
  </w:num>
  <w:num w:numId="10">
    <w:abstractNumId w:val="11"/>
  </w:num>
  <w:num w:numId="11">
    <w:abstractNumId w:val="2"/>
  </w:num>
  <w:num w:numId="12">
    <w:abstractNumId w:val="13"/>
  </w:num>
  <w:num w:numId="13">
    <w:abstractNumId w:val="9"/>
  </w:num>
  <w:num w:numId="14">
    <w:abstractNumId w:val="8"/>
  </w:num>
  <w:num w:numId="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autoHyphenation/>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6558"/>
    <w:rsid w:val="00003A45"/>
    <w:rsid w:val="000224F5"/>
    <w:rsid w:val="00023729"/>
    <w:rsid w:val="000243B4"/>
    <w:rsid w:val="000320F3"/>
    <w:rsid w:val="000452EB"/>
    <w:rsid w:val="000463AE"/>
    <w:rsid w:val="000507A3"/>
    <w:rsid w:val="00060A62"/>
    <w:rsid w:val="00064366"/>
    <w:rsid w:val="00066B73"/>
    <w:rsid w:val="00071481"/>
    <w:rsid w:val="00075FAE"/>
    <w:rsid w:val="00082F38"/>
    <w:rsid w:val="0008384B"/>
    <w:rsid w:val="00090FB7"/>
    <w:rsid w:val="000929EC"/>
    <w:rsid w:val="00093CDE"/>
    <w:rsid w:val="000A6379"/>
    <w:rsid w:val="000D22B0"/>
    <w:rsid w:val="000D35C9"/>
    <w:rsid w:val="000D520C"/>
    <w:rsid w:val="000D6596"/>
    <w:rsid w:val="000E6DF0"/>
    <w:rsid w:val="001037CB"/>
    <w:rsid w:val="0010629E"/>
    <w:rsid w:val="00115538"/>
    <w:rsid w:val="00120AB1"/>
    <w:rsid w:val="00123A7F"/>
    <w:rsid w:val="001278D0"/>
    <w:rsid w:val="00127F72"/>
    <w:rsid w:val="00140646"/>
    <w:rsid w:val="00147A4B"/>
    <w:rsid w:val="001671ED"/>
    <w:rsid w:val="001727FA"/>
    <w:rsid w:val="00173D4C"/>
    <w:rsid w:val="00183218"/>
    <w:rsid w:val="00185988"/>
    <w:rsid w:val="001873B6"/>
    <w:rsid w:val="001901E6"/>
    <w:rsid w:val="00191305"/>
    <w:rsid w:val="00195B55"/>
    <w:rsid w:val="001A2FE8"/>
    <w:rsid w:val="001A33AC"/>
    <w:rsid w:val="001C1C51"/>
    <w:rsid w:val="001E0ECA"/>
    <w:rsid w:val="001E206F"/>
    <w:rsid w:val="001E5750"/>
    <w:rsid w:val="001E7739"/>
    <w:rsid w:val="001F3DB4"/>
    <w:rsid w:val="00204F40"/>
    <w:rsid w:val="00205DEF"/>
    <w:rsid w:val="00207A98"/>
    <w:rsid w:val="00216C8A"/>
    <w:rsid w:val="00226317"/>
    <w:rsid w:val="00231539"/>
    <w:rsid w:val="00243ED7"/>
    <w:rsid w:val="002523E3"/>
    <w:rsid w:val="002536E4"/>
    <w:rsid w:val="00266FA5"/>
    <w:rsid w:val="002920F4"/>
    <w:rsid w:val="002940F3"/>
    <w:rsid w:val="00295842"/>
    <w:rsid w:val="002B3574"/>
    <w:rsid w:val="002B6B74"/>
    <w:rsid w:val="002C6AE7"/>
    <w:rsid w:val="002D2D4B"/>
    <w:rsid w:val="002D3805"/>
    <w:rsid w:val="002E09B3"/>
    <w:rsid w:val="002E66AE"/>
    <w:rsid w:val="002E7763"/>
    <w:rsid w:val="002F5842"/>
    <w:rsid w:val="00306CB7"/>
    <w:rsid w:val="003111F5"/>
    <w:rsid w:val="00336200"/>
    <w:rsid w:val="00337418"/>
    <w:rsid w:val="00351D83"/>
    <w:rsid w:val="00351F1A"/>
    <w:rsid w:val="00353E46"/>
    <w:rsid w:val="003576C4"/>
    <w:rsid w:val="00360496"/>
    <w:rsid w:val="00366AB0"/>
    <w:rsid w:val="0037437C"/>
    <w:rsid w:val="0038146B"/>
    <w:rsid w:val="0038340F"/>
    <w:rsid w:val="00384457"/>
    <w:rsid w:val="00384F24"/>
    <w:rsid w:val="00395360"/>
    <w:rsid w:val="003A32B2"/>
    <w:rsid w:val="003A47DD"/>
    <w:rsid w:val="003A634F"/>
    <w:rsid w:val="003B2EBC"/>
    <w:rsid w:val="003B588A"/>
    <w:rsid w:val="003B621D"/>
    <w:rsid w:val="003C4388"/>
    <w:rsid w:val="003C4C27"/>
    <w:rsid w:val="003C5B6A"/>
    <w:rsid w:val="003C7F7B"/>
    <w:rsid w:val="003D2EAA"/>
    <w:rsid w:val="003E054C"/>
    <w:rsid w:val="003E27A0"/>
    <w:rsid w:val="003E3872"/>
    <w:rsid w:val="004044AA"/>
    <w:rsid w:val="004044C8"/>
    <w:rsid w:val="00404F3F"/>
    <w:rsid w:val="00410B5D"/>
    <w:rsid w:val="00413BEC"/>
    <w:rsid w:val="0042265E"/>
    <w:rsid w:val="00424ED7"/>
    <w:rsid w:val="00424FB3"/>
    <w:rsid w:val="00425258"/>
    <w:rsid w:val="00426217"/>
    <w:rsid w:val="00431A80"/>
    <w:rsid w:val="00435A89"/>
    <w:rsid w:val="00452267"/>
    <w:rsid w:val="00453307"/>
    <w:rsid w:val="00457E36"/>
    <w:rsid w:val="00462F8F"/>
    <w:rsid w:val="00481D56"/>
    <w:rsid w:val="00490408"/>
    <w:rsid w:val="004A4C45"/>
    <w:rsid w:val="004B0485"/>
    <w:rsid w:val="004B428E"/>
    <w:rsid w:val="004B4D37"/>
    <w:rsid w:val="004C42F0"/>
    <w:rsid w:val="004E1D73"/>
    <w:rsid w:val="004E5A5B"/>
    <w:rsid w:val="0050061B"/>
    <w:rsid w:val="0051286E"/>
    <w:rsid w:val="00516021"/>
    <w:rsid w:val="00516457"/>
    <w:rsid w:val="00520A0C"/>
    <w:rsid w:val="00530E37"/>
    <w:rsid w:val="005464A1"/>
    <w:rsid w:val="00546F12"/>
    <w:rsid w:val="0055339C"/>
    <w:rsid w:val="00562B3C"/>
    <w:rsid w:val="00564E40"/>
    <w:rsid w:val="005750E2"/>
    <w:rsid w:val="0058313F"/>
    <w:rsid w:val="00585859"/>
    <w:rsid w:val="00586FBC"/>
    <w:rsid w:val="005879C9"/>
    <w:rsid w:val="005A3C6B"/>
    <w:rsid w:val="005B1EA5"/>
    <w:rsid w:val="005C55BC"/>
    <w:rsid w:val="005D7176"/>
    <w:rsid w:val="005E1F24"/>
    <w:rsid w:val="005E73F1"/>
    <w:rsid w:val="005F07EF"/>
    <w:rsid w:val="00600B2E"/>
    <w:rsid w:val="00607CEB"/>
    <w:rsid w:val="00613299"/>
    <w:rsid w:val="0061762D"/>
    <w:rsid w:val="00627C16"/>
    <w:rsid w:val="00634238"/>
    <w:rsid w:val="00635FBC"/>
    <w:rsid w:val="00637728"/>
    <w:rsid w:val="0064113A"/>
    <w:rsid w:val="00644002"/>
    <w:rsid w:val="006458B1"/>
    <w:rsid w:val="00650529"/>
    <w:rsid w:val="00650BAB"/>
    <w:rsid w:val="00651737"/>
    <w:rsid w:val="00653570"/>
    <w:rsid w:val="00662378"/>
    <w:rsid w:val="006671BF"/>
    <w:rsid w:val="00672A7D"/>
    <w:rsid w:val="00681416"/>
    <w:rsid w:val="006A06F5"/>
    <w:rsid w:val="006A0ED2"/>
    <w:rsid w:val="006B0A73"/>
    <w:rsid w:val="006B5A6B"/>
    <w:rsid w:val="006C0F82"/>
    <w:rsid w:val="006C332E"/>
    <w:rsid w:val="006C5901"/>
    <w:rsid w:val="006D6372"/>
    <w:rsid w:val="006D6E5C"/>
    <w:rsid w:val="006E02AF"/>
    <w:rsid w:val="006E0786"/>
    <w:rsid w:val="006E6B4A"/>
    <w:rsid w:val="006E7449"/>
    <w:rsid w:val="006E7FB1"/>
    <w:rsid w:val="006F2604"/>
    <w:rsid w:val="006F5319"/>
    <w:rsid w:val="006F55FD"/>
    <w:rsid w:val="006F5D21"/>
    <w:rsid w:val="0070735C"/>
    <w:rsid w:val="00711BE3"/>
    <w:rsid w:val="00724FA7"/>
    <w:rsid w:val="00725415"/>
    <w:rsid w:val="00727505"/>
    <w:rsid w:val="00731581"/>
    <w:rsid w:val="00741B9E"/>
    <w:rsid w:val="00743DAC"/>
    <w:rsid w:val="0075337B"/>
    <w:rsid w:val="00755CD4"/>
    <w:rsid w:val="00757F96"/>
    <w:rsid w:val="00785285"/>
    <w:rsid w:val="0078529D"/>
    <w:rsid w:val="00787DC1"/>
    <w:rsid w:val="00794070"/>
    <w:rsid w:val="007A713B"/>
    <w:rsid w:val="007B64E5"/>
    <w:rsid w:val="007C2F04"/>
    <w:rsid w:val="007F5B8B"/>
    <w:rsid w:val="00817E9A"/>
    <w:rsid w:val="00822A50"/>
    <w:rsid w:val="00830D57"/>
    <w:rsid w:val="00860B07"/>
    <w:rsid w:val="008616F6"/>
    <w:rsid w:val="0086259C"/>
    <w:rsid w:val="00883F24"/>
    <w:rsid w:val="00897E1F"/>
    <w:rsid w:val="008B2CB4"/>
    <w:rsid w:val="008B6404"/>
    <w:rsid w:val="008C2C21"/>
    <w:rsid w:val="008C7DD3"/>
    <w:rsid w:val="008E000B"/>
    <w:rsid w:val="008E2926"/>
    <w:rsid w:val="008E35C6"/>
    <w:rsid w:val="008E3F49"/>
    <w:rsid w:val="008E5CFA"/>
    <w:rsid w:val="008F243B"/>
    <w:rsid w:val="008F4675"/>
    <w:rsid w:val="00904A66"/>
    <w:rsid w:val="0092287F"/>
    <w:rsid w:val="0092495B"/>
    <w:rsid w:val="0092660E"/>
    <w:rsid w:val="00936519"/>
    <w:rsid w:val="00941DA3"/>
    <w:rsid w:val="00942C0C"/>
    <w:rsid w:val="009539E3"/>
    <w:rsid w:val="00954A5E"/>
    <w:rsid w:val="009551B2"/>
    <w:rsid w:val="00964625"/>
    <w:rsid w:val="00966FBF"/>
    <w:rsid w:val="00981C1D"/>
    <w:rsid w:val="0099109C"/>
    <w:rsid w:val="009936DB"/>
    <w:rsid w:val="00993CFC"/>
    <w:rsid w:val="009A1DC2"/>
    <w:rsid w:val="009C0914"/>
    <w:rsid w:val="009C27E5"/>
    <w:rsid w:val="009D71E8"/>
    <w:rsid w:val="009E104B"/>
    <w:rsid w:val="009E7DE4"/>
    <w:rsid w:val="009F3BBD"/>
    <w:rsid w:val="00A063DD"/>
    <w:rsid w:val="00A112B5"/>
    <w:rsid w:val="00A14EEA"/>
    <w:rsid w:val="00A3353C"/>
    <w:rsid w:val="00A44FBB"/>
    <w:rsid w:val="00A50104"/>
    <w:rsid w:val="00A522E0"/>
    <w:rsid w:val="00A63579"/>
    <w:rsid w:val="00A638AC"/>
    <w:rsid w:val="00A727E5"/>
    <w:rsid w:val="00A748B5"/>
    <w:rsid w:val="00A80A32"/>
    <w:rsid w:val="00A81D73"/>
    <w:rsid w:val="00A82A98"/>
    <w:rsid w:val="00A82D16"/>
    <w:rsid w:val="00A95F75"/>
    <w:rsid w:val="00A96B83"/>
    <w:rsid w:val="00AA355B"/>
    <w:rsid w:val="00AA42E5"/>
    <w:rsid w:val="00AB24FA"/>
    <w:rsid w:val="00AD2E0A"/>
    <w:rsid w:val="00AD4903"/>
    <w:rsid w:val="00AD7B5A"/>
    <w:rsid w:val="00AE229F"/>
    <w:rsid w:val="00AF5E20"/>
    <w:rsid w:val="00B002FA"/>
    <w:rsid w:val="00B00327"/>
    <w:rsid w:val="00B024B3"/>
    <w:rsid w:val="00B11DE8"/>
    <w:rsid w:val="00B163C0"/>
    <w:rsid w:val="00B179ED"/>
    <w:rsid w:val="00B20E18"/>
    <w:rsid w:val="00B572C4"/>
    <w:rsid w:val="00B57F89"/>
    <w:rsid w:val="00B60858"/>
    <w:rsid w:val="00B74D4E"/>
    <w:rsid w:val="00B80219"/>
    <w:rsid w:val="00BA19A5"/>
    <w:rsid w:val="00BC67F6"/>
    <w:rsid w:val="00BD2004"/>
    <w:rsid w:val="00BD4B12"/>
    <w:rsid w:val="00BE2F92"/>
    <w:rsid w:val="00BF0D5F"/>
    <w:rsid w:val="00C11EB4"/>
    <w:rsid w:val="00C12746"/>
    <w:rsid w:val="00C25827"/>
    <w:rsid w:val="00C31BB8"/>
    <w:rsid w:val="00C373EA"/>
    <w:rsid w:val="00C573B7"/>
    <w:rsid w:val="00C621C1"/>
    <w:rsid w:val="00C62989"/>
    <w:rsid w:val="00C65CBB"/>
    <w:rsid w:val="00C80F37"/>
    <w:rsid w:val="00C97A7F"/>
    <w:rsid w:val="00CB5B17"/>
    <w:rsid w:val="00CC4443"/>
    <w:rsid w:val="00CC5CAF"/>
    <w:rsid w:val="00D06874"/>
    <w:rsid w:val="00D173F7"/>
    <w:rsid w:val="00D20203"/>
    <w:rsid w:val="00D204E0"/>
    <w:rsid w:val="00D21354"/>
    <w:rsid w:val="00D22400"/>
    <w:rsid w:val="00D278BA"/>
    <w:rsid w:val="00D33FE5"/>
    <w:rsid w:val="00D3578A"/>
    <w:rsid w:val="00D4463C"/>
    <w:rsid w:val="00D501EE"/>
    <w:rsid w:val="00D517DC"/>
    <w:rsid w:val="00D5590D"/>
    <w:rsid w:val="00D60287"/>
    <w:rsid w:val="00D618E4"/>
    <w:rsid w:val="00D61DA5"/>
    <w:rsid w:val="00D62361"/>
    <w:rsid w:val="00D875ED"/>
    <w:rsid w:val="00D877D0"/>
    <w:rsid w:val="00D90013"/>
    <w:rsid w:val="00D91B9C"/>
    <w:rsid w:val="00D92C1B"/>
    <w:rsid w:val="00D94CC7"/>
    <w:rsid w:val="00DA1AF4"/>
    <w:rsid w:val="00DB0C60"/>
    <w:rsid w:val="00DC641A"/>
    <w:rsid w:val="00DD6B7D"/>
    <w:rsid w:val="00DD6E14"/>
    <w:rsid w:val="00DE15AC"/>
    <w:rsid w:val="00E061EC"/>
    <w:rsid w:val="00E13E51"/>
    <w:rsid w:val="00E270D6"/>
    <w:rsid w:val="00E33E84"/>
    <w:rsid w:val="00E43EAD"/>
    <w:rsid w:val="00E62DCB"/>
    <w:rsid w:val="00E651DD"/>
    <w:rsid w:val="00E66558"/>
    <w:rsid w:val="00E70D81"/>
    <w:rsid w:val="00E726A6"/>
    <w:rsid w:val="00E86F05"/>
    <w:rsid w:val="00EA3A2A"/>
    <w:rsid w:val="00EB4556"/>
    <w:rsid w:val="00EB64C8"/>
    <w:rsid w:val="00ED5053"/>
    <w:rsid w:val="00ED5108"/>
    <w:rsid w:val="00F012CA"/>
    <w:rsid w:val="00F01752"/>
    <w:rsid w:val="00F0355A"/>
    <w:rsid w:val="00F24A7E"/>
    <w:rsid w:val="00F33DC0"/>
    <w:rsid w:val="00F62587"/>
    <w:rsid w:val="00F63E9E"/>
    <w:rsid w:val="00F76843"/>
    <w:rsid w:val="00F776E1"/>
    <w:rsid w:val="00F925EB"/>
    <w:rsid w:val="00FA6DD0"/>
    <w:rsid w:val="00FC28DF"/>
    <w:rsid w:val="00FE3136"/>
    <w:rsid w:val="00FE50A3"/>
    <w:rsid w:val="00FF369D"/>
    <w:rsid w:val="00FF6FB0"/>
    <w:rsid w:val="05B6D577"/>
    <w:rsid w:val="069AA0E3"/>
    <w:rsid w:val="07FFD3D3"/>
    <w:rsid w:val="0B240EAF"/>
    <w:rsid w:val="13173609"/>
    <w:rsid w:val="1A172959"/>
    <w:rsid w:val="1CBF4D92"/>
    <w:rsid w:val="2497129E"/>
    <w:rsid w:val="2860AB8E"/>
    <w:rsid w:val="2FFB967E"/>
    <w:rsid w:val="31CC4DD9"/>
    <w:rsid w:val="380BAE89"/>
    <w:rsid w:val="3A3F1ACF"/>
    <w:rsid w:val="3BE13FA2"/>
    <w:rsid w:val="3EA4202B"/>
    <w:rsid w:val="418407A1"/>
    <w:rsid w:val="491E3A64"/>
    <w:rsid w:val="4BF69EA0"/>
    <w:rsid w:val="5C40C457"/>
    <w:rsid w:val="5F3A7B6B"/>
    <w:rsid w:val="617B4808"/>
    <w:rsid w:val="625D1A15"/>
    <w:rsid w:val="6D28B1AF"/>
    <w:rsid w:val="6D616F43"/>
    <w:rsid w:val="6EB73EE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7D54B1"/>
  <w15:docId w15:val="{C830A91F-B2EC-47DF-8B56-C878E7619E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imes New Roman" w:hAnsi="Arial" w:cs="Times New Roman"/>
        <w:lang w:val="en-GB" w:eastAsia="en-GB" w:bidi="ar-SA"/>
      </w:rPr>
    </w:rPrDefault>
    <w:pPrDefault>
      <w:pPr>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uppressAutoHyphens/>
      <w:spacing w:after="240" w:line="288" w:lineRule="auto"/>
    </w:pPr>
    <w:rPr>
      <w:color w:val="0D0D0D"/>
      <w:sz w:val="24"/>
      <w:szCs w:val="24"/>
    </w:rPr>
  </w:style>
  <w:style w:type="paragraph" w:styleId="Heading1">
    <w:name w:val="heading 1"/>
    <w:basedOn w:val="Normal"/>
    <w:next w:val="Normal"/>
    <w:uiPriority w:val="9"/>
    <w:qFormat/>
    <w:pPr>
      <w:pageBreakBefore/>
      <w:spacing w:line="240" w:lineRule="auto"/>
      <w:outlineLvl w:val="0"/>
    </w:pPr>
    <w:rPr>
      <w:b/>
      <w:color w:val="104F75"/>
      <w:sz w:val="36"/>
    </w:rPr>
  </w:style>
  <w:style w:type="paragraph" w:styleId="Heading2">
    <w:name w:val="heading 2"/>
    <w:basedOn w:val="Normal"/>
    <w:next w:val="Normal"/>
    <w:uiPriority w:val="9"/>
    <w:unhideWhenUsed/>
    <w:qFormat/>
    <w:pPr>
      <w:keepNext/>
      <w:spacing w:before="480" w:line="240" w:lineRule="auto"/>
      <w:outlineLvl w:val="1"/>
    </w:pPr>
    <w:rPr>
      <w:b/>
      <w:color w:val="104F75"/>
      <w:sz w:val="32"/>
      <w:szCs w:val="32"/>
    </w:rPr>
  </w:style>
  <w:style w:type="paragraph" w:styleId="Heading3">
    <w:name w:val="heading 3"/>
    <w:basedOn w:val="Heading2"/>
    <w:next w:val="Normal"/>
    <w:uiPriority w:val="9"/>
    <w:unhideWhenUsed/>
    <w:qFormat/>
    <w:pPr>
      <w:spacing w:before="360"/>
      <w:outlineLvl w:val="2"/>
    </w:pPr>
    <w:rPr>
      <w:bCs/>
      <w:sz w:val="28"/>
      <w:szCs w:val="28"/>
    </w:rPr>
  </w:style>
  <w:style w:type="paragraph" w:styleId="Heading4">
    <w:name w:val="heading 4"/>
    <w:basedOn w:val="Heading2"/>
    <w:next w:val="Normal"/>
    <w:uiPriority w:val="9"/>
    <w:semiHidden/>
    <w:unhideWhenUsed/>
    <w:qFormat/>
    <w:pPr>
      <w:spacing w:before="240"/>
      <w:outlineLvl w:val="3"/>
    </w:pPr>
    <w:rPr>
      <w:bCs/>
      <w:sz w:val="24"/>
      <w:szCs w:val="28"/>
    </w:rPr>
  </w:style>
  <w:style w:type="paragraph" w:styleId="Heading5">
    <w:name w:val="heading 5"/>
    <w:basedOn w:val="Normal"/>
    <w:next w:val="Normal"/>
    <w:uiPriority w:val="9"/>
    <w:semiHidden/>
    <w:unhideWhenUsed/>
    <w:qFormat/>
    <w:pPr>
      <w:numPr>
        <w:ilvl w:val="4"/>
        <w:numId w:val="1"/>
      </w:numPr>
      <w:spacing w:before="240" w:after="60"/>
      <w:outlineLvl w:val="4"/>
    </w:pPr>
    <w:rPr>
      <w:rFonts w:ascii="Calibri" w:hAnsi="Calibri"/>
      <w:b/>
      <w:bCs/>
      <w:i/>
      <w:iCs/>
      <w:sz w:val="26"/>
      <w:szCs w:val="26"/>
    </w:rPr>
  </w:style>
  <w:style w:type="paragraph" w:styleId="Heading6">
    <w:name w:val="heading 6"/>
    <w:basedOn w:val="Normal"/>
    <w:next w:val="Normal"/>
    <w:uiPriority w:val="9"/>
    <w:semiHidden/>
    <w:unhideWhenUsed/>
    <w:qFormat/>
    <w:pPr>
      <w:numPr>
        <w:ilvl w:val="5"/>
        <w:numId w:val="1"/>
      </w:numPr>
      <w:spacing w:before="240" w:after="60"/>
      <w:outlineLvl w:val="5"/>
    </w:pPr>
    <w:rPr>
      <w:rFonts w:ascii="Calibri" w:hAnsi="Calibri"/>
      <w:b/>
      <w:bCs/>
      <w:szCs w:val="22"/>
    </w:rPr>
  </w:style>
  <w:style w:type="paragraph" w:styleId="Heading7">
    <w:name w:val="heading 7"/>
    <w:basedOn w:val="Normal"/>
    <w:next w:val="Normal"/>
    <w:pPr>
      <w:numPr>
        <w:ilvl w:val="6"/>
        <w:numId w:val="1"/>
      </w:numPr>
      <w:spacing w:before="240" w:after="60"/>
      <w:outlineLvl w:val="6"/>
    </w:pPr>
    <w:rPr>
      <w:rFonts w:ascii="Calibri" w:hAnsi="Calibri"/>
    </w:rPr>
  </w:style>
  <w:style w:type="paragraph" w:styleId="Heading8">
    <w:name w:val="heading 8"/>
    <w:basedOn w:val="Normal"/>
    <w:next w:val="Normal"/>
    <w:pPr>
      <w:numPr>
        <w:ilvl w:val="7"/>
        <w:numId w:val="1"/>
      </w:numPr>
      <w:spacing w:before="240" w:after="60"/>
      <w:outlineLvl w:val="7"/>
    </w:pPr>
    <w:rPr>
      <w:rFonts w:ascii="Calibri" w:hAnsi="Calibri"/>
      <w:i/>
      <w:iCs/>
    </w:rPr>
  </w:style>
  <w:style w:type="paragraph" w:styleId="Heading9">
    <w:name w:val="heading 9"/>
    <w:basedOn w:val="Normal"/>
    <w:next w:val="Normal"/>
    <w:pPr>
      <w:numPr>
        <w:ilvl w:val="8"/>
        <w:numId w:val="1"/>
      </w:numPr>
      <w:spacing w:before="240" w:after="60"/>
      <w:outlineLvl w:val="8"/>
    </w:pPr>
    <w:rPr>
      <w:rFonts w:ascii="Cambria" w:hAnsi="Cambria"/>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WWOutlineListStyle1">
    <w:name w:val="WW_OutlineListStyle_1"/>
    <w:basedOn w:val="NoList"/>
    <w:pPr>
      <w:numPr>
        <w:numId w:val="1"/>
      </w:numPr>
    </w:pPr>
  </w:style>
  <w:style w:type="character" w:customStyle="1" w:styleId="Heading1Char">
    <w:name w:val="Heading 1 Char"/>
    <w:rPr>
      <w:b/>
      <w:color w:val="104F75"/>
      <w:sz w:val="36"/>
      <w:szCs w:val="24"/>
    </w:rPr>
  </w:style>
  <w:style w:type="character" w:customStyle="1" w:styleId="Heading2Char">
    <w:name w:val="Heading 2 Char"/>
    <w:rPr>
      <w:b/>
      <w:color w:val="104F75"/>
      <w:sz w:val="32"/>
      <w:szCs w:val="32"/>
    </w:rPr>
  </w:style>
  <w:style w:type="character" w:customStyle="1" w:styleId="Heading3Char">
    <w:name w:val="Heading 3 Char"/>
    <w:rPr>
      <w:b/>
      <w:bCs/>
      <w:color w:val="104F75"/>
      <w:sz w:val="28"/>
      <w:szCs w:val="28"/>
    </w:rPr>
  </w:style>
  <w:style w:type="character" w:styleId="Hyperlink">
    <w:name w:val="Hyperlink"/>
    <w:rPr>
      <w:rFonts w:ascii="Arial" w:hAnsi="Arial"/>
      <w:color w:val="0000FF"/>
      <w:sz w:val="24"/>
      <w:u w:val="single"/>
    </w:rPr>
  </w:style>
  <w:style w:type="paragraph" w:styleId="TOCHeading">
    <w:name w:val="TOC Heading"/>
    <w:basedOn w:val="Normal"/>
    <w:next w:val="Normal"/>
    <w:pPr>
      <w:pageBreakBefore/>
    </w:pPr>
    <w:rPr>
      <w:rFonts w:cs="Arial"/>
      <w:b/>
      <w:color w:val="365F91"/>
      <w:sz w:val="36"/>
      <w:szCs w:val="28"/>
      <w:lang w:eastAsia="ja-JP"/>
    </w:rPr>
  </w:style>
  <w:style w:type="paragraph" w:customStyle="1" w:styleId="TitleText">
    <w:name w:val="TitleText"/>
    <w:basedOn w:val="Normal"/>
    <w:pPr>
      <w:spacing w:before="3600" w:line="240" w:lineRule="auto"/>
    </w:pPr>
    <w:rPr>
      <w:rFonts w:cs="Arial"/>
      <w:b/>
      <w:color w:val="104F75"/>
      <w:sz w:val="92"/>
      <w:szCs w:val="92"/>
    </w:rPr>
  </w:style>
  <w:style w:type="character" w:customStyle="1" w:styleId="TitleTextChar">
    <w:name w:val="TitleText Char"/>
    <w:rPr>
      <w:rFonts w:cs="Arial"/>
      <w:b/>
      <w:color w:val="104F75"/>
      <w:sz w:val="92"/>
      <w:szCs w:val="92"/>
    </w:rPr>
  </w:style>
  <w:style w:type="paragraph" w:customStyle="1" w:styleId="SubtitleText">
    <w:name w:val="SubtitleText"/>
    <w:basedOn w:val="Normal"/>
    <w:pPr>
      <w:spacing w:after="1520"/>
    </w:pPr>
    <w:rPr>
      <w:rFonts w:cs="Arial"/>
      <w:b/>
      <w:color w:val="104F75"/>
      <w:sz w:val="48"/>
      <w:szCs w:val="48"/>
    </w:rPr>
  </w:style>
  <w:style w:type="character" w:customStyle="1" w:styleId="SubtitleTextChar">
    <w:name w:val="SubtitleText Char"/>
    <w:rPr>
      <w:rFonts w:cs="Arial"/>
      <w:b/>
      <w:color w:val="104F75"/>
      <w:sz w:val="48"/>
      <w:szCs w:val="48"/>
    </w:rPr>
  </w:style>
  <w:style w:type="paragraph" w:styleId="ListBullet">
    <w:name w:val="List Bullet"/>
    <w:basedOn w:val="ListBullet5"/>
    <w:pPr>
      <w:numPr>
        <w:numId w:val="5"/>
      </w:numPr>
      <w:contextualSpacing/>
    </w:pPr>
  </w:style>
  <w:style w:type="paragraph" w:styleId="TOC1">
    <w:name w:val="toc 1"/>
    <w:basedOn w:val="Normal"/>
    <w:next w:val="Normal"/>
    <w:autoRedefine/>
    <w:pPr>
      <w:tabs>
        <w:tab w:val="right" w:pos="9498"/>
      </w:tabs>
      <w:spacing w:after="120"/>
    </w:pPr>
  </w:style>
  <w:style w:type="paragraph" w:styleId="TOC2">
    <w:name w:val="toc 2"/>
    <w:basedOn w:val="Normal"/>
    <w:next w:val="Normal"/>
    <w:autoRedefine/>
    <w:pPr>
      <w:tabs>
        <w:tab w:val="right" w:pos="9498"/>
      </w:tabs>
      <w:spacing w:after="120"/>
      <w:ind w:left="238"/>
    </w:pPr>
  </w:style>
  <w:style w:type="paragraph" w:styleId="TOC3">
    <w:name w:val="toc 3"/>
    <w:basedOn w:val="Normal"/>
    <w:next w:val="Normal"/>
    <w:autoRedefine/>
    <w:pPr>
      <w:tabs>
        <w:tab w:val="right" w:pos="9498"/>
      </w:tabs>
      <w:spacing w:after="120"/>
      <w:ind w:left="480"/>
    </w:pPr>
  </w:style>
  <w:style w:type="paragraph" w:customStyle="1" w:styleId="CopyrightBox">
    <w:name w:val="CopyrightBox"/>
    <w:basedOn w:val="Normal"/>
  </w:style>
  <w:style w:type="character" w:customStyle="1" w:styleId="CopyrightBoxChar">
    <w:name w:val="CopyrightBox Char"/>
    <w:rPr>
      <w:color w:val="0D0D0D"/>
      <w:sz w:val="24"/>
      <w:szCs w:val="24"/>
    </w:rPr>
  </w:style>
  <w:style w:type="paragraph" w:customStyle="1" w:styleId="CopyrightSpacing">
    <w:name w:val="CopyrightSpacing"/>
    <w:basedOn w:val="Normal"/>
    <w:pPr>
      <w:spacing w:before="6000" w:after="120"/>
    </w:pPr>
  </w:style>
  <w:style w:type="character" w:customStyle="1" w:styleId="CopyrightSpacingChar">
    <w:name w:val="CopyrightSpacing Char"/>
    <w:rPr>
      <w:sz w:val="24"/>
      <w:szCs w:val="24"/>
    </w:rPr>
  </w:style>
  <w:style w:type="paragraph" w:styleId="Title">
    <w:name w:val="Title"/>
    <w:basedOn w:val="Normal"/>
    <w:next w:val="Normal"/>
    <w:uiPriority w:val="10"/>
    <w:qFormat/>
    <w:pPr>
      <w:spacing w:before="240" w:line="240" w:lineRule="auto"/>
    </w:pPr>
    <w:rPr>
      <w:b/>
      <w:color w:val="104F75"/>
      <w:sz w:val="96"/>
      <w:szCs w:val="120"/>
    </w:rPr>
  </w:style>
  <w:style w:type="character" w:customStyle="1" w:styleId="TitleChar">
    <w:name w:val="Title Char"/>
    <w:rPr>
      <w:rFonts w:ascii="Arial" w:hAnsi="Arial" w:cs="Arial"/>
      <w:b/>
      <w:color w:val="104F75"/>
      <w:sz w:val="96"/>
      <w:szCs w:val="120"/>
      <w:lang w:eastAsia="en-US"/>
    </w:rPr>
  </w:style>
  <w:style w:type="paragraph" w:styleId="TableofFigures">
    <w:name w:val="table of figures"/>
    <w:basedOn w:val="Normal"/>
    <w:next w:val="Normal"/>
    <w:pPr>
      <w:spacing w:after="120"/>
    </w:pPr>
  </w:style>
  <w:style w:type="paragraph" w:styleId="ListBullet4">
    <w:name w:val="List Bullet 4"/>
    <w:basedOn w:val="Normal"/>
    <w:pPr>
      <w:numPr>
        <w:numId w:val="4"/>
      </w:numPr>
      <w:contextualSpacing/>
    </w:pPr>
  </w:style>
  <w:style w:type="paragraph" w:styleId="ListParagraph">
    <w:name w:val="List Paragraph"/>
    <w:basedOn w:val="Normal"/>
    <w:pPr>
      <w:numPr>
        <w:numId w:val="8"/>
      </w:numPr>
      <w:contextualSpacing/>
    </w:pPr>
  </w:style>
  <w:style w:type="paragraph" w:styleId="Caption">
    <w:name w:val="caption"/>
    <w:basedOn w:val="Normal"/>
    <w:next w:val="Normal"/>
    <w:pPr>
      <w:spacing w:before="120" w:after="120"/>
      <w:jc w:val="center"/>
    </w:pPr>
    <w:rPr>
      <w:b/>
      <w:bCs/>
      <w:color w:val="000000"/>
      <w:sz w:val="20"/>
      <w:szCs w:val="20"/>
    </w:rPr>
  </w:style>
  <w:style w:type="character" w:customStyle="1" w:styleId="Heading4Char">
    <w:name w:val="Heading 4 Char"/>
    <w:rPr>
      <w:b/>
      <w:bCs/>
      <w:color w:val="104F75"/>
      <w:sz w:val="24"/>
      <w:szCs w:val="28"/>
    </w:rPr>
  </w:style>
  <w:style w:type="character" w:customStyle="1" w:styleId="Heading5Char">
    <w:name w:val="Heading 5 Char"/>
    <w:rPr>
      <w:rFonts w:ascii="Calibri" w:hAnsi="Calibri"/>
      <w:b/>
      <w:bCs/>
      <w:i/>
      <w:iCs/>
      <w:color w:val="0D0D0D"/>
      <w:sz w:val="26"/>
      <w:szCs w:val="26"/>
    </w:rPr>
  </w:style>
  <w:style w:type="character" w:customStyle="1" w:styleId="Heading6Char">
    <w:name w:val="Heading 6 Char"/>
    <w:rPr>
      <w:rFonts w:ascii="Calibri" w:hAnsi="Calibri"/>
      <w:b/>
      <w:bCs/>
      <w:color w:val="0D0D0D"/>
      <w:sz w:val="24"/>
      <w:szCs w:val="22"/>
    </w:rPr>
  </w:style>
  <w:style w:type="character" w:customStyle="1" w:styleId="Heading7Char">
    <w:name w:val="Heading 7 Char"/>
    <w:rPr>
      <w:rFonts w:ascii="Calibri" w:hAnsi="Calibri"/>
      <w:color w:val="0D0D0D"/>
      <w:sz w:val="24"/>
      <w:szCs w:val="24"/>
    </w:rPr>
  </w:style>
  <w:style w:type="character" w:customStyle="1" w:styleId="Heading8Char">
    <w:name w:val="Heading 8 Char"/>
    <w:rPr>
      <w:rFonts w:ascii="Calibri" w:hAnsi="Calibri"/>
      <w:i/>
      <w:iCs/>
      <w:color w:val="0D0D0D"/>
      <w:sz w:val="24"/>
      <w:szCs w:val="24"/>
    </w:rPr>
  </w:style>
  <w:style w:type="character" w:customStyle="1" w:styleId="Heading9Char">
    <w:name w:val="Heading 9 Char"/>
    <w:rPr>
      <w:rFonts w:ascii="Cambria" w:hAnsi="Cambria"/>
      <w:color w:val="0D0D0D"/>
      <w:sz w:val="24"/>
      <w:szCs w:val="22"/>
    </w:rPr>
  </w:style>
  <w:style w:type="paragraph" w:styleId="BodyText">
    <w:name w:val="Body Text"/>
    <w:basedOn w:val="Normal"/>
    <w:pPr>
      <w:spacing w:after="120"/>
    </w:pPr>
  </w:style>
  <w:style w:type="character" w:customStyle="1" w:styleId="BodyTextChar">
    <w:name w:val="Body Text Char"/>
    <w:basedOn w:val="DefaultParagraphFont"/>
    <w:rPr>
      <w:color w:val="0D0D0D"/>
      <w:sz w:val="24"/>
      <w:szCs w:val="24"/>
    </w:rPr>
  </w:style>
  <w:style w:type="paragraph" w:customStyle="1" w:styleId="TableHeader">
    <w:name w:val="TableHeader"/>
    <w:pPr>
      <w:suppressAutoHyphens/>
      <w:spacing w:before="60" w:after="60"/>
      <w:ind w:left="57" w:right="57"/>
      <w:jc w:val="center"/>
    </w:pPr>
    <w:rPr>
      <w:b/>
      <w:color w:val="0D0D0D"/>
      <w:sz w:val="24"/>
      <w:szCs w:val="24"/>
    </w:rPr>
  </w:style>
  <w:style w:type="paragraph" w:styleId="BalloonText">
    <w:name w:val="Balloon Text"/>
    <w:basedOn w:val="Normal"/>
    <w:pPr>
      <w:spacing w:after="0" w:line="240" w:lineRule="auto"/>
    </w:pPr>
    <w:rPr>
      <w:rFonts w:ascii="Tahoma" w:hAnsi="Tahoma" w:cs="Tahoma"/>
      <w:sz w:val="16"/>
      <w:szCs w:val="16"/>
    </w:rPr>
  </w:style>
  <w:style w:type="character" w:customStyle="1" w:styleId="BalloonTextChar">
    <w:name w:val="Balloon Text Char"/>
    <w:rPr>
      <w:rFonts w:ascii="Tahoma" w:hAnsi="Tahoma" w:cs="Tahoma"/>
      <w:sz w:val="16"/>
      <w:szCs w:val="16"/>
    </w:rPr>
  </w:style>
  <w:style w:type="paragraph" w:customStyle="1" w:styleId="TableRow">
    <w:name w:val="TableRow"/>
    <w:pPr>
      <w:suppressAutoHyphens/>
      <w:spacing w:before="60" w:after="60"/>
      <w:ind w:left="57" w:right="57"/>
    </w:pPr>
    <w:rPr>
      <w:color w:val="0D0D0D"/>
      <w:sz w:val="24"/>
      <w:szCs w:val="24"/>
    </w:rPr>
  </w:style>
  <w:style w:type="character" w:customStyle="1" w:styleId="TableRowChar">
    <w:name w:val="TableRow Char"/>
    <w:rPr>
      <w:color w:val="0D0D0D"/>
      <w:sz w:val="24"/>
      <w:szCs w:val="24"/>
    </w:rPr>
  </w:style>
  <w:style w:type="paragraph" w:styleId="Header">
    <w:name w:val="header"/>
    <w:basedOn w:val="Normal"/>
    <w:pPr>
      <w:tabs>
        <w:tab w:val="center" w:pos="4513"/>
        <w:tab w:val="right" w:pos="9026"/>
      </w:tabs>
      <w:spacing w:after="0" w:line="240" w:lineRule="auto"/>
    </w:pPr>
  </w:style>
  <w:style w:type="character" w:customStyle="1" w:styleId="HeaderChar">
    <w:name w:val="Header Char"/>
    <w:basedOn w:val="DefaultParagraphFont"/>
    <w:rPr>
      <w:color w:val="0D0D0D"/>
      <w:sz w:val="24"/>
      <w:szCs w:val="24"/>
    </w:rPr>
  </w:style>
  <w:style w:type="paragraph" w:styleId="Footer">
    <w:name w:val="footer"/>
    <w:basedOn w:val="Normal"/>
    <w:pPr>
      <w:tabs>
        <w:tab w:val="center" w:pos="4513"/>
        <w:tab w:val="right" w:pos="9026"/>
      </w:tabs>
      <w:spacing w:after="0" w:line="240" w:lineRule="auto"/>
    </w:pPr>
  </w:style>
  <w:style w:type="character" w:customStyle="1" w:styleId="FooterChar">
    <w:name w:val="Footer Char"/>
    <w:basedOn w:val="DefaultParagraphFont"/>
    <w:rPr>
      <w:color w:val="0D0D0D"/>
      <w:sz w:val="24"/>
      <w:szCs w:val="24"/>
    </w:rPr>
  </w:style>
  <w:style w:type="character" w:styleId="FollowedHyperlink">
    <w:name w:val="FollowedHyperlink"/>
    <w:basedOn w:val="DefaultParagraphFont"/>
    <w:rPr>
      <w:color w:val="0000FF"/>
      <w:u w:val="single"/>
    </w:rPr>
  </w:style>
  <w:style w:type="paragraph" w:styleId="FootnoteText">
    <w:name w:val="footnote text"/>
    <w:basedOn w:val="Normal"/>
    <w:pPr>
      <w:spacing w:after="60" w:line="240" w:lineRule="auto"/>
    </w:pPr>
    <w:rPr>
      <w:sz w:val="20"/>
      <w:szCs w:val="20"/>
    </w:rPr>
  </w:style>
  <w:style w:type="character" w:customStyle="1" w:styleId="FootnoteTextChar">
    <w:name w:val="Footnote Text Char"/>
    <w:basedOn w:val="DefaultParagraphFont"/>
  </w:style>
  <w:style w:type="character" w:styleId="FootnoteReference">
    <w:name w:val="footnote reference"/>
    <w:basedOn w:val="DefaultParagraphFont"/>
    <w:rPr>
      <w:position w:val="0"/>
      <w:vertAlign w:val="superscript"/>
    </w:rPr>
  </w:style>
  <w:style w:type="character" w:customStyle="1" w:styleId="RGB">
    <w:name w:val="RGB"/>
    <w:basedOn w:val="DefaultParagraphFont"/>
    <w:rPr>
      <w:b/>
      <w:bCs/>
      <w:sz w:val="20"/>
    </w:rPr>
  </w:style>
  <w:style w:type="paragraph" w:customStyle="1" w:styleId="ColouredBoxHeadline">
    <w:name w:val="Coloured Box Headline"/>
    <w:basedOn w:val="Normal"/>
    <w:pPr>
      <w:spacing w:before="120"/>
    </w:pPr>
    <w:rPr>
      <w:b/>
      <w:bCs/>
      <w:sz w:val="28"/>
      <w:szCs w:val="20"/>
    </w:rPr>
  </w:style>
  <w:style w:type="character" w:customStyle="1" w:styleId="RGBValues">
    <w:name w:val="RGB Values"/>
    <w:basedOn w:val="DefaultParagraphFont"/>
    <w:rPr>
      <w:sz w:val="20"/>
    </w:rPr>
  </w:style>
  <w:style w:type="paragraph" w:styleId="ListBullet5">
    <w:name w:val="List Bullet 5"/>
    <w:basedOn w:val="Normal"/>
  </w:style>
  <w:style w:type="character" w:styleId="CommentReference">
    <w:name w:val="annotation reference"/>
    <w:basedOn w:val="DefaultParagraphFont"/>
  </w:style>
  <w:style w:type="paragraph" w:styleId="CommentText">
    <w:name w:val="annotation text"/>
    <w:basedOn w:val="Normal"/>
    <w:pPr>
      <w:spacing w:line="240" w:lineRule="auto"/>
    </w:pPr>
    <w:rPr>
      <w:sz w:val="20"/>
      <w:szCs w:val="20"/>
    </w:rPr>
  </w:style>
  <w:style w:type="character" w:customStyle="1" w:styleId="CommentTextChar">
    <w:name w:val="Comment Text Char"/>
    <w:basedOn w:val="DefaultParagraphFont"/>
  </w:style>
  <w:style w:type="paragraph" w:styleId="CommentSubject">
    <w:name w:val="annotation subject"/>
    <w:basedOn w:val="CommentText"/>
    <w:next w:val="CommentText"/>
    <w:rPr>
      <w:b/>
      <w:bCs/>
    </w:rPr>
  </w:style>
  <w:style w:type="character" w:customStyle="1" w:styleId="CommentSubjectChar">
    <w:name w:val="Comment Subject Char"/>
    <w:basedOn w:val="CommentTextChar"/>
    <w:rPr>
      <w:b/>
      <w:bCs/>
    </w:rPr>
  </w:style>
  <w:style w:type="paragraph" w:customStyle="1" w:styleId="Centredembed">
    <w:name w:val="Centred embed"/>
    <w:basedOn w:val="Normal"/>
    <w:pPr>
      <w:spacing w:after="0"/>
      <w:jc w:val="center"/>
    </w:pPr>
    <w:rPr>
      <w:szCs w:val="20"/>
    </w:rPr>
  </w:style>
  <w:style w:type="paragraph" w:styleId="Date">
    <w:name w:val="Date"/>
    <w:basedOn w:val="Normal"/>
    <w:next w:val="Normal"/>
    <w:rPr>
      <w:rFonts w:cs="Arial"/>
      <w:b/>
      <w:bCs/>
      <w:color w:val="104F75"/>
      <w:sz w:val="44"/>
      <w:szCs w:val="44"/>
    </w:rPr>
  </w:style>
  <w:style w:type="character" w:customStyle="1" w:styleId="DateChar">
    <w:name w:val="Date Char"/>
    <w:basedOn w:val="DefaultParagraphFont"/>
    <w:rPr>
      <w:rFonts w:cs="Arial"/>
      <w:b/>
      <w:bCs/>
      <w:color w:val="104F75"/>
      <w:sz w:val="44"/>
      <w:szCs w:val="44"/>
    </w:rPr>
  </w:style>
  <w:style w:type="character" w:customStyle="1" w:styleId="SourceChar">
    <w:name w:val="Source Char"/>
    <w:basedOn w:val="DefaultParagraphFont"/>
  </w:style>
  <w:style w:type="paragraph" w:customStyle="1" w:styleId="Source">
    <w:name w:val="Source"/>
    <w:basedOn w:val="Normal"/>
    <w:pPr>
      <w:jc w:val="right"/>
    </w:pPr>
    <w:rPr>
      <w:sz w:val="20"/>
      <w:szCs w:val="20"/>
    </w:rPr>
  </w:style>
  <w:style w:type="paragraph" w:customStyle="1" w:styleId="DfESOutNumbered1">
    <w:name w:val="DfESOutNumbered1"/>
    <w:basedOn w:val="Normal"/>
    <w:pPr>
      <w:numPr>
        <w:numId w:val="3"/>
      </w:numPr>
    </w:pPr>
  </w:style>
  <w:style w:type="character" w:customStyle="1" w:styleId="DfESOutNumbered1Char">
    <w:name w:val="DfESOutNumbered1 Char"/>
    <w:rPr>
      <w:sz w:val="24"/>
      <w:szCs w:val="24"/>
    </w:rPr>
  </w:style>
  <w:style w:type="paragraph" w:customStyle="1" w:styleId="TableRowRight">
    <w:name w:val="TableRowRight"/>
    <w:basedOn w:val="TableRow"/>
    <w:pPr>
      <w:jc w:val="right"/>
    </w:pPr>
    <w:rPr>
      <w:szCs w:val="20"/>
    </w:rPr>
  </w:style>
  <w:style w:type="paragraph" w:customStyle="1" w:styleId="TableRowCentered">
    <w:name w:val="TableRowCentered"/>
    <w:basedOn w:val="TableRow"/>
    <w:pPr>
      <w:jc w:val="center"/>
    </w:pPr>
    <w:rPr>
      <w:szCs w:val="20"/>
    </w:rPr>
  </w:style>
  <w:style w:type="paragraph" w:customStyle="1" w:styleId="SocialMedia">
    <w:name w:val="SocialMedia"/>
    <w:basedOn w:val="Normal"/>
    <w:pPr>
      <w:tabs>
        <w:tab w:val="left" w:pos="4253"/>
        <w:tab w:val="left" w:pos="4820"/>
      </w:tabs>
      <w:spacing w:after="0" w:line="240" w:lineRule="auto"/>
      <w:ind w:firstLine="34"/>
    </w:pPr>
  </w:style>
  <w:style w:type="paragraph" w:customStyle="1" w:styleId="Reference">
    <w:name w:val="Reference"/>
    <w:basedOn w:val="Normal"/>
    <w:pPr>
      <w:tabs>
        <w:tab w:val="left" w:pos="1701"/>
      </w:tabs>
      <w:spacing w:before="240"/>
    </w:pPr>
  </w:style>
  <w:style w:type="character" w:customStyle="1" w:styleId="SocialMediaChar">
    <w:name w:val="SocialMedia Char"/>
    <w:basedOn w:val="DefaultParagraphFont"/>
    <w:rPr>
      <w:sz w:val="24"/>
      <w:szCs w:val="24"/>
    </w:rPr>
  </w:style>
  <w:style w:type="paragraph" w:customStyle="1" w:styleId="Licence">
    <w:name w:val="Licence"/>
    <w:basedOn w:val="Normal"/>
    <w:pPr>
      <w:tabs>
        <w:tab w:val="left" w:pos="1418"/>
      </w:tabs>
      <w:ind w:left="284"/>
      <w:contextualSpacing/>
    </w:pPr>
  </w:style>
  <w:style w:type="character" w:customStyle="1" w:styleId="ReferenceChar">
    <w:name w:val="Reference Char"/>
    <w:basedOn w:val="DefaultParagraphFont"/>
    <w:rPr>
      <w:color w:val="0D0D0D"/>
      <w:sz w:val="24"/>
      <w:szCs w:val="24"/>
    </w:rPr>
  </w:style>
  <w:style w:type="paragraph" w:customStyle="1" w:styleId="LicenceIntro">
    <w:name w:val="LicenceIntro"/>
    <w:basedOn w:val="Licence"/>
    <w:pPr>
      <w:spacing w:after="0"/>
      <w:ind w:left="0"/>
    </w:pPr>
    <w:rPr>
      <w:szCs w:val="20"/>
    </w:rPr>
  </w:style>
  <w:style w:type="character" w:customStyle="1" w:styleId="LicenceChar">
    <w:name w:val="Licence Char"/>
    <w:basedOn w:val="DefaultParagraphFont"/>
    <w:rPr>
      <w:sz w:val="24"/>
      <w:szCs w:val="24"/>
    </w:rPr>
  </w:style>
  <w:style w:type="paragraph" w:styleId="ListBullet2">
    <w:name w:val="List Bullet 2"/>
    <w:basedOn w:val="Normal"/>
    <w:pPr>
      <w:numPr>
        <w:numId w:val="6"/>
      </w:numPr>
      <w:tabs>
        <w:tab w:val="left" w:pos="491"/>
      </w:tabs>
      <w:contextualSpacing/>
    </w:pPr>
  </w:style>
  <w:style w:type="paragraph" w:customStyle="1" w:styleId="Logos">
    <w:name w:val="Logos"/>
    <w:basedOn w:val="Normal"/>
    <w:pPr>
      <w:pageBreakBefore/>
      <w:widowControl w:val="0"/>
    </w:pPr>
  </w:style>
  <w:style w:type="character" w:customStyle="1" w:styleId="LogosChar">
    <w:name w:val="Logos Char"/>
    <w:basedOn w:val="DefaultParagraphFont"/>
    <w:rPr>
      <w:color w:val="0D0D0D"/>
      <w:sz w:val="24"/>
      <w:szCs w:val="24"/>
    </w:rPr>
  </w:style>
  <w:style w:type="paragraph" w:styleId="ListBullet3">
    <w:name w:val="List Bullet 3"/>
    <w:basedOn w:val="Normal"/>
    <w:pPr>
      <w:numPr>
        <w:numId w:val="7"/>
      </w:numPr>
      <w:contextualSpacing/>
    </w:pPr>
  </w:style>
  <w:style w:type="paragraph" w:customStyle="1" w:styleId="DfESOutNumbered">
    <w:name w:val="DfESOutNumbered"/>
    <w:basedOn w:val="Normal"/>
    <w:pPr>
      <w:widowControl w:val="0"/>
      <w:numPr>
        <w:numId w:val="9"/>
      </w:numPr>
      <w:overflowPunct w:val="0"/>
      <w:autoSpaceDE w:val="0"/>
      <w:spacing w:line="240" w:lineRule="auto"/>
      <w:textAlignment w:val="baseline"/>
    </w:pPr>
    <w:rPr>
      <w:rFonts w:cs="Arial"/>
      <w:color w:val="auto"/>
      <w:sz w:val="22"/>
      <w:szCs w:val="20"/>
      <w:lang w:eastAsia="en-US"/>
    </w:rPr>
  </w:style>
  <w:style w:type="character" w:customStyle="1" w:styleId="DfESOutNumberedChar">
    <w:name w:val="DfESOutNumbered Char"/>
    <w:basedOn w:val="LogosChar"/>
    <w:rPr>
      <w:rFonts w:cs="Arial"/>
      <w:color w:val="0D0D0D"/>
      <w:sz w:val="22"/>
      <w:szCs w:val="24"/>
      <w:lang w:eastAsia="en-US"/>
    </w:rPr>
  </w:style>
  <w:style w:type="paragraph" w:customStyle="1" w:styleId="DeptBullets">
    <w:name w:val="DeptBullets"/>
    <w:basedOn w:val="Normal"/>
    <w:pPr>
      <w:widowControl w:val="0"/>
      <w:numPr>
        <w:numId w:val="10"/>
      </w:numPr>
      <w:overflowPunct w:val="0"/>
      <w:autoSpaceDE w:val="0"/>
      <w:spacing w:line="240" w:lineRule="auto"/>
      <w:textAlignment w:val="baseline"/>
    </w:pPr>
    <w:rPr>
      <w:color w:val="auto"/>
      <w:szCs w:val="20"/>
      <w:lang w:eastAsia="en-US"/>
    </w:rPr>
  </w:style>
  <w:style w:type="character" w:customStyle="1" w:styleId="DeptBulletsChar">
    <w:name w:val="DeptBullets Char"/>
    <w:basedOn w:val="LogosChar"/>
    <w:rPr>
      <w:color w:val="0D0D0D"/>
      <w:sz w:val="24"/>
      <w:szCs w:val="24"/>
      <w:lang w:eastAsia="en-US"/>
    </w:rPr>
  </w:style>
  <w:style w:type="paragraph" w:customStyle="1" w:styleId="TOCHeader">
    <w:name w:val="TOC Header"/>
    <w:pPr>
      <w:pageBreakBefore/>
      <w:suppressAutoHyphens/>
    </w:pPr>
    <w:rPr>
      <w:b/>
      <w:color w:val="104F75"/>
      <w:sz w:val="36"/>
      <w:szCs w:val="24"/>
    </w:rPr>
  </w:style>
  <w:style w:type="character" w:customStyle="1" w:styleId="TOCHeaderChar">
    <w:name w:val="TOC Header Char"/>
    <w:rPr>
      <w:b/>
      <w:color w:val="104F75"/>
      <w:sz w:val="36"/>
      <w:szCs w:val="24"/>
    </w:rPr>
  </w:style>
  <w:style w:type="paragraph" w:styleId="BodyTextIndent">
    <w:name w:val="Body Text Indent"/>
    <w:basedOn w:val="Normal"/>
    <w:pPr>
      <w:widowControl w:val="0"/>
      <w:overflowPunct w:val="0"/>
      <w:autoSpaceDE w:val="0"/>
      <w:spacing w:after="0" w:line="240" w:lineRule="auto"/>
      <w:ind w:left="288"/>
      <w:textAlignment w:val="baseline"/>
    </w:pPr>
    <w:rPr>
      <w:color w:val="auto"/>
      <w:szCs w:val="20"/>
      <w:lang w:eastAsia="en-US"/>
    </w:rPr>
  </w:style>
  <w:style w:type="character" w:customStyle="1" w:styleId="BodyTextIndentChar">
    <w:name w:val="Body Text Indent Char"/>
    <w:basedOn w:val="DefaultParagraphFont"/>
    <w:rPr>
      <w:sz w:val="24"/>
      <w:lang w:eastAsia="en-US"/>
    </w:rPr>
  </w:style>
  <w:style w:type="paragraph" w:customStyle="1" w:styleId="DeptOutNumbered">
    <w:name w:val="DeptOutNumbered"/>
    <w:basedOn w:val="Normal"/>
    <w:pPr>
      <w:widowControl w:val="0"/>
      <w:numPr>
        <w:numId w:val="11"/>
      </w:numPr>
      <w:overflowPunct w:val="0"/>
      <w:autoSpaceDE w:val="0"/>
      <w:spacing w:line="240" w:lineRule="auto"/>
      <w:textAlignment w:val="baseline"/>
    </w:pPr>
    <w:rPr>
      <w:color w:val="auto"/>
      <w:szCs w:val="20"/>
      <w:lang w:eastAsia="en-US"/>
    </w:rPr>
  </w:style>
  <w:style w:type="paragraph" w:customStyle="1" w:styleId="Heading">
    <w:name w:val="Heading"/>
    <w:basedOn w:val="Normal"/>
    <w:next w:val="Normal"/>
    <w:pPr>
      <w:keepNext/>
      <w:keepLines/>
      <w:widowControl w:val="0"/>
      <w:overflowPunct w:val="0"/>
      <w:autoSpaceDE w:val="0"/>
      <w:spacing w:before="240" w:line="240" w:lineRule="auto"/>
      <w:ind w:left="-720"/>
      <w:textAlignment w:val="baseline"/>
    </w:pPr>
    <w:rPr>
      <w:b/>
      <w:color w:val="auto"/>
      <w:szCs w:val="20"/>
      <w:lang w:eastAsia="en-US"/>
    </w:rPr>
  </w:style>
  <w:style w:type="paragraph" w:customStyle="1" w:styleId="MinuteTop">
    <w:name w:val="Minute Top"/>
    <w:basedOn w:val="Normal"/>
    <w:pPr>
      <w:widowControl w:val="0"/>
      <w:tabs>
        <w:tab w:val="left" w:pos="4680"/>
        <w:tab w:val="left" w:pos="5587"/>
      </w:tabs>
      <w:overflowPunct w:val="0"/>
      <w:autoSpaceDE w:val="0"/>
      <w:spacing w:after="0" w:line="240" w:lineRule="auto"/>
      <w:textAlignment w:val="baseline"/>
    </w:pPr>
    <w:rPr>
      <w:color w:val="auto"/>
      <w:szCs w:val="20"/>
      <w:lang w:eastAsia="en-US"/>
    </w:rPr>
  </w:style>
  <w:style w:type="paragraph" w:customStyle="1" w:styleId="Numbered">
    <w:name w:val="Numbered"/>
    <w:basedOn w:val="Normal"/>
    <w:pPr>
      <w:widowControl w:val="0"/>
      <w:overflowPunct w:val="0"/>
      <w:autoSpaceDE w:val="0"/>
      <w:spacing w:line="240" w:lineRule="auto"/>
      <w:textAlignment w:val="baseline"/>
    </w:pPr>
    <w:rPr>
      <w:color w:val="auto"/>
      <w:szCs w:val="20"/>
      <w:lang w:eastAsia="en-US"/>
    </w:rPr>
  </w:style>
  <w:style w:type="character" w:styleId="PageNumber">
    <w:name w:val="page number"/>
    <w:basedOn w:val="DefaultParagraphFont"/>
  </w:style>
  <w:style w:type="character" w:customStyle="1" w:styleId="PersonalComposeStyle">
    <w:name w:val="Personal Compose Style"/>
    <w:basedOn w:val="DefaultParagraphFont"/>
    <w:rPr>
      <w:rFonts w:ascii="Arial" w:hAnsi="Arial" w:cs="Arial"/>
      <w:color w:val="auto"/>
      <w:sz w:val="20"/>
    </w:rPr>
  </w:style>
  <w:style w:type="character" w:customStyle="1" w:styleId="PersonalReplyStyle">
    <w:name w:val="Personal Reply Style"/>
    <w:basedOn w:val="DefaultParagraphFont"/>
    <w:rPr>
      <w:rFonts w:ascii="Arial" w:hAnsi="Arial" w:cs="Arial"/>
      <w:color w:val="auto"/>
      <w:sz w:val="20"/>
    </w:rPr>
  </w:style>
  <w:style w:type="paragraph" w:customStyle="1" w:styleId="Sub-Heading">
    <w:name w:val="Sub-Heading"/>
    <w:basedOn w:val="Heading"/>
    <w:next w:val="Numbered"/>
    <w:pPr>
      <w:spacing w:before="0"/>
    </w:pPr>
  </w:style>
  <w:style w:type="paragraph" w:styleId="Subtitle">
    <w:name w:val="Subtitle"/>
    <w:basedOn w:val="Normal"/>
    <w:uiPriority w:val="11"/>
    <w:qFormat/>
    <w:pPr>
      <w:widowControl w:val="0"/>
      <w:overflowPunct w:val="0"/>
      <w:autoSpaceDE w:val="0"/>
      <w:spacing w:after="60" w:line="240" w:lineRule="auto"/>
      <w:jc w:val="center"/>
      <w:textAlignment w:val="baseline"/>
    </w:pPr>
    <w:rPr>
      <w:i/>
      <w:color w:val="auto"/>
      <w:szCs w:val="20"/>
      <w:lang w:eastAsia="en-US"/>
    </w:rPr>
  </w:style>
  <w:style w:type="character" w:customStyle="1" w:styleId="SubtitleChar">
    <w:name w:val="Subtitle Char"/>
    <w:basedOn w:val="DefaultParagraphFont"/>
    <w:rPr>
      <w:i/>
      <w:sz w:val="24"/>
      <w:lang w:eastAsia="en-US"/>
    </w:rPr>
  </w:style>
  <w:style w:type="paragraph" w:customStyle="1" w:styleId="DfESBullets">
    <w:name w:val="DfESBullets"/>
    <w:basedOn w:val="Normal"/>
    <w:pPr>
      <w:widowControl w:val="0"/>
      <w:numPr>
        <w:numId w:val="12"/>
      </w:numPr>
      <w:overflowPunct w:val="0"/>
      <w:autoSpaceDE w:val="0"/>
      <w:spacing w:line="240" w:lineRule="auto"/>
      <w:textAlignment w:val="baseline"/>
    </w:pPr>
    <w:rPr>
      <w:rFonts w:cs="Arial"/>
      <w:color w:val="auto"/>
      <w:sz w:val="22"/>
      <w:szCs w:val="20"/>
      <w:lang w:eastAsia="en-US"/>
    </w:rPr>
  </w:style>
  <w:style w:type="character" w:customStyle="1" w:styleId="UnresolvedMention">
    <w:name w:val="Unresolved Mention"/>
    <w:basedOn w:val="DefaultParagraphFont"/>
    <w:rPr>
      <w:color w:val="605E5C"/>
      <w:shd w:val="clear" w:color="auto" w:fill="E1DFDD"/>
    </w:rPr>
  </w:style>
  <w:style w:type="numbering" w:customStyle="1" w:styleId="WWOutlineListStyle">
    <w:name w:val="WW_OutlineListStyle"/>
    <w:basedOn w:val="NoList"/>
    <w:pPr>
      <w:numPr>
        <w:numId w:val="2"/>
      </w:numPr>
    </w:pPr>
  </w:style>
  <w:style w:type="numbering" w:customStyle="1" w:styleId="LFO3">
    <w:name w:val="LFO3"/>
    <w:basedOn w:val="NoList"/>
    <w:pPr>
      <w:numPr>
        <w:numId w:val="3"/>
      </w:numPr>
    </w:pPr>
  </w:style>
  <w:style w:type="numbering" w:customStyle="1" w:styleId="LFO4">
    <w:name w:val="LFO4"/>
    <w:basedOn w:val="NoList"/>
    <w:pPr>
      <w:numPr>
        <w:numId w:val="4"/>
      </w:numPr>
    </w:pPr>
  </w:style>
  <w:style w:type="numbering" w:customStyle="1" w:styleId="LFO6">
    <w:name w:val="LFO6"/>
    <w:basedOn w:val="NoList"/>
    <w:pPr>
      <w:numPr>
        <w:numId w:val="5"/>
      </w:numPr>
    </w:pPr>
  </w:style>
  <w:style w:type="numbering" w:customStyle="1" w:styleId="LFO9">
    <w:name w:val="LFO9"/>
    <w:basedOn w:val="NoList"/>
    <w:pPr>
      <w:numPr>
        <w:numId w:val="6"/>
      </w:numPr>
    </w:pPr>
  </w:style>
  <w:style w:type="numbering" w:customStyle="1" w:styleId="LFO10">
    <w:name w:val="LFO10"/>
    <w:basedOn w:val="NoList"/>
    <w:pPr>
      <w:numPr>
        <w:numId w:val="7"/>
      </w:numPr>
    </w:pPr>
  </w:style>
  <w:style w:type="numbering" w:customStyle="1" w:styleId="LFO25">
    <w:name w:val="LFO25"/>
    <w:basedOn w:val="NoList"/>
    <w:pPr>
      <w:numPr>
        <w:numId w:val="8"/>
      </w:numPr>
    </w:pPr>
  </w:style>
  <w:style w:type="numbering" w:customStyle="1" w:styleId="LFO28">
    <w:name w:val="LFO28"/>
    <w:basedOn w:val="NoList"/>
    <w:pPr>
      <w:numPr>
        <w:numId w:val="9"/>
      </w:numPr>
    </w:pPr>
  </w:style>
  <w:style w:type="numbering" w:customStyle="1" w:styleId="LFO30">
    <w:name w:val="LFO30"/>
    <w:basedOn w:val="NoList"/>
    <w:pPr>
      <w:numPr>
        <w:numId w:val="10"/>
      </w:numPr>
    </w:pPr>
  </w:style>
  <w:style w:type="numbering" w:customStyle="1" w:styleId="LFO34">
    <w:name w:val="LFO34"/>
    <w:basedOn w:val="NoList"/>
    <w:pPr>
      <w:numPr>
        <w:numId w:val="11"/>
      </w:numPr>
    </w:pPr>
  </w:style>
  <w:style w:type="numbering" w:customStyle="1" w:styleId="LFO36">
    <w:name w:val="LFO36"/>
    <w:basedOn w:val="NoList"/>
    <w:pPr>
      <w:numPr>
        <w:numId w:val="12"/>
      </w:numPr>
    </w:pPr>
  </w:style>
  <w:style w:type="paragraph" w:styleId="Revision">
    <w:name w:val="Revision"/>
    <w:hidden/>
    <w:uiPriority w:val="99"/>
    <w:semiHidden/>
    <w:rsid w:val="00115538"/>
    <w:pPr>
      <w:autoSpaceDN/>
    </w:pPr>
    <w:rPr>
      <w:color w:val="0D0D0D"/>
      <w:sz w:val="24"/>
      <w:szCs w:val="24"/>
    </w:rPr>
  </w:style>
  <w:style w:type="character" w:customStyle="1" w:styleId="Mention">
    <w:name w:val="Mention"/>
    <w:basedOn w:val="DefaultParagraphFont"/>
    <w:uiPriority w:val="99"/>
    <w:unhideWhenUsed/>
    <w:rsid w:val="00E726A6"/>
    <w:rPr>
      <w:color w:val="2B579A"/>
      <w:shd w:val="clear" w:color="auto" w:fill="E1DFDD"/>
    </w:rPr>
  </w:style>
  <w:style w:type="table" w:styleId="TableGrid">
    <w:name w:val="Table Grid"/>
    <w:basedOn w:val="TableNormal"/>
    <w:uiPriority w:val="39"/>
    <w:rsid w:val="009539E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52949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9</Pages>
  <Words>1875</Words>
  <Characters>10691</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Pupil premium strategy statement</vt:lpstr>
    </vt:vector>
  </TitlesOfParts>
  <Company/>
  <LinksUpToDate>false</LinksUpToDate>
  <CharactersWithSpaces>12541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Pupil premium strategy statement</dc:title>
  <dc:subject/>
  <dc:creator>Publishing.TEAM@education.gsi.gov.uk</dc:creator>
  <cp:keywords/>
  <dc:description/>
  <cp:lastModifiedBy>Laura Druce</cp:lastModifiedBy>
  <cp:revision>3</cp:revision>
  <cp:lastPrinted>2023-12-01T10:26:00Z</cp:lastPrinted>
  <dcterms:created xsi:type="dcterms:W3CDTF">2023-12-30T11:05:00Z</dcterms:created>
  <dcterms:modified xsi:type="dcterms:W3CDTF">2023-12-30T11:12:00Z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IWP Document</vt:lpwstr>
  </property>
  <property fmtid="{D5CDD505-2E9C-101B-9397-08002B2CF9AE}" pid="3" name="ContentTypeId">
    <vt:lpwstr>0x0101006FBD534E0B2648409800B3ECF3893BDA</vt:lpwstr>
  </property>
  <property fmtid="{D5CDD505-2E9C-101B-9397-08002B2CF9AE}" pid="4" name="IWPGroupOOB">
    <vt:lpwstr>Communications Directorate</vt:lpwstr>
  </property>
  <property fmtid="{D5CDD505-2E9C-101B-9397-08002B2CF9AE}" pid="5" name="_dlc_DocIdItemGuid">
    <vt:lpwstr>f1dd1af3-30bb-446e-af34-5327635f4b16</vt:lpwstr>
  </property>
  <property fmtid="{D5CDD505-2E9C-101B-9397-08002B2CF9AE}" pid="6" name="IWPOrganisationalUnit">
    <vt:lpwstr>3;#DfE|cc08a6d4-dfde-4d0f-bd85-069ebcef80d5</vt:lpwstr>
  </property>
  <property fmtid="{D5CDD505-2E9C-101B-9397-08002B2CF9AE}" pid="7" name="IWPOwner">
    <vt:lpwstr>1;#DfE|a484111e-5b24-4ad9-9778-c536c8c88985</vt:lpwstr>
  </property>
  <property fmtid="{D5CDD505-2E9C-101B-9397-08002B2CF9AE}" pid="8" name="IWPSubject">
    <vt:lpwstr/>
  </property>
  <property fmtid="{D5CDD505-2E9C-101B-9397-08002B2CF9AE}" pid="9" name="IWPFunction">
    <vt:lpwstr/>
  </property>
  <property fmtid="{D5CDD505-2E9C-101B-9397-08002B2CF9AE}" pid="10" name="IWPSiteType">
    <vt:lpwstr/>
  </property>
  <property fmtid="{D5CDD505-2E9C-101B-9397-08002B2CF9AE}" pid="11" name="IWPRightsProtectiveMarking">
    <vt:lpwstr>2;#Official|0884c477-2e62-47ea-b19c-5af6e91124c5</vt:lpwstr>
  </property>
  <property fmtid="{D5CDD505-2E9C-101B-9397-08002B2CF9AE}" pid="12" name="Site">
    <vt:lpwstr>22;#Communic​ati​ons|60b3cc5e-d979-4a7a-b73d-c058e341a548</vt:lpwstr>
  </property>
</Properties>
</file>